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84" w:rsidRPr="009C4484" w:rsidRDefault="009C4484" w:rsidP="009C4484">
      <w:pPr>
        <w:jc w:val="center"/>
        <w:rPr>
          <w:sz w:val="28"/>
          <w:szCs w:val="28"/>
        </w:rPr>
      </w:pPr>
      <w:r w:rsidRPr="009C4484">
        <w:rPr>
          <w:b/>
          <w:color w:val="000000"/>
          <w:spacing w:val="1"/>
          <w:sz w:val="28"/>
          <w:szCs w:val="28"/>
          <w:shd w:val="clear" w:color="auto" w:fill="FFFFFF"/>
        </w:rPr>
        <w:t>ФНС России разъяснены вопросы исчисления с 1 января 2018 года страховых взносов на ОПС за себя индивидуальными предпринимателями, применяющими УСН</w:t>
      </w:r>
    </w:p>
    <w:p w:rsidR="009C4484" w:rsidRPr="009C4484" w:rsidRDefault="009C4484" w:rsidP="009C4484">
      <w:pPr>
        <w:pStyle w:val="a5"/>
        <w:shd w:val="clear" w:color="auto" w:fill="FFFFFF"/>
        <w:spacing w:before="0" w:beforeAutospacing="0" w:after="160" w:afterAutospacing="0" w:line="200" w:lineRule="atLeast"/>
        <w:jc w:val="center"/>
        <w:rPr>
          <w:rFonts w:ascii="Times New Roman" w:hAnsi="Times New Roman" w:cs="Times New Roman"/>
          <w:color w:val="000000"/>
          <w:spacing w:val="1"/>
          <w:sz w:val="28"/>
          <w:szCs w:val="28"/>
          <w:lang w:val="ru-RU"/>
        </w:rPr>
      </w:pPr>
    </w:p>
    <w:p w:rsidR="009C4484" w:rsidRDefault="009C4484" w:rsidP="00250CE5">
      <w:pPr>
        <w:pStyle w:val="a5"/>
        <w:shd w:val="clear" w:color="auto" w:fill="FFFFFF"/>
        <w:spacing w:before="0" w:beforeAutospacing="0" w:after="0" w:afterAutospacing="0"/>
        <w:ind w:firstLine="708"/>
        <w:contextualSpacing/>
        <w:jc w:val="both"/>
        <w:rPr>
          <w:rFonts w:ascii="Times New Roman" w:hAnsi="Times New Roman" w:cs="Times New Roman"/>
          <w:color w:val="000000"/>
          <w:spacing w:val="1"/>
        </w:rPr>
      </w:pPr>
      <w:r>
        <w:rPr>
          <w:rFonts w:ascii="Times New Roman" w:hAnsi="Times New Roman" w:cs="Times New Roman"/>
          <w:color w:val="000000"/>
          <w:spacing w:val="1"/>
        </w:rPr>
        <w:t>Если доход индивидуального предпринимателя 300 000 руб. и меньше, то фиксированный платеж на обязательное пенсионное страхование (ОПС) за 2018 год составляет 26 545 руб.</w:t>
      </w:r>
    </w:p>
    <w:p w:rsidR="009C4484" w:rsidRDefault="009C4484" w:rsidP="00250CE5">
      <w:pPr>
        <w:pStyle w:val="a5"/>
        <w:shd w:val="clear" w:color="auto" w:fill="FFFFFF"/>
        <w:spacing w:before="0" w:beforeAutospacing="0" w:after="0" w:afterAutospacing="0"/>
        <w:ind w:firstLine="708"/>
        <w:contextualSpacing/>
        <w:jc w:val="both"/>
        <w:rPr>
          <w:rFonts w:ascii="Times New Roman" w:hAnsi="Times New Roman" w:cs="Times New Roman"/>
          <w:color w:val="000000"/>
          <w:spacing w:val="1"/>
        </w:rPr>
      </w:pPr>
      <w:r>
        <w:rPr>
          <w:rFonts w:ascii="Times New Roman" w:hAnsi="Times New Roman" w:cs="Times New Roman"/>
          <w:color w:val="000000"/>
          <w:spacing w:val="1"/>
        </w:rPr>
        <w:t>Если доход больше 300 000 руб., необходимо с суммы превышения дополнительно уплатить 1,0%. При этом размер страховых взносов на ОПС не может быть более восьмикратного фиксированного размера, т.е. более 212 360 рублей (26 545 руб. x 8).</w:t>
      </w:r>
    </w:p>
    <w:p w:rsidR="009C4484" w:rsidRDefault="009C4484" w:rsidP="00250CE5">
      <w:pPr>
        <w:pStyle w:val="a5"/>
        <w:shd w:val="clear" w:color="auto" w:fill="FFFFFF"/>
        <w:spacing w:before="0" w:beforeAutospacing="0" w:after="0" w:afterAutospacing="0"/>
        <w:ind w:firstLine="708"/>
        <w:contextualSpacing/>
        <w:jc w:val="both"/>
        <w:rPr>
          <w:rFonts w:ascii="Times New Roman" w:hAnsi="Times New Roman" w:cs="Times New Roman"/>
          <w:color w:val="000000"/>
          <w:spacing w:val="1"/>
        </w:rPr>
      </w:pPr>
      <w:r>
        <w:rPr>
          <w:rFonts w:ascii="Times New Roman" w:hAnsi="Times New Roman" w:cs="Times New Roman"/>
          <w:color w:val="000000"/>
          <w:spacing w:val="1"/>
        </w:rPr>
        <w:t>Относительно определения дохода ИП сообщено следующее.</w:t>
      </w:r>
    </w:p>
    <w:p w:rsidR="009C4484" w:rsidRDefault="009C4484" w:rsidP="00250CE5">
      <w:pPr>
        <w:pStyle w:val="a5"/>
        <w:shd w:val="clear" w:color="auto" w:fill="FFFFFF"/>
        <w:spacing w:before="0" w:beforeAutospacing="0" w:after="0" w:afterAutospacing="0"/>
        <w:ind w:firstLine="708"/>
        <w:contextualSpacing/>
        <w:jc w:val="both"/>
        <w:rPr>
          <w:rFonts w:ascii="Times New Roman" w:hAnsi="Times New Roman" w:cs="Times New Roman"/>
          <w:color w:val="000000"/>
          <w:spacing w:val="1"/>
          <w:lang w:val="ru-RU"/>
        </w:rPr>
      </w:pPr>
      <w:r>
        <w:rPr>
          <w:rFonts w:ascii="Times New Roman" w:hAnsi="Times New Roman" w:cs="Times New Roman"/>
          <w:color w:val="000000"/>
          <w:spacing w:val="1"/>
        </w:rPr>
        <w:t xml:space="preserve">Для плательщиков, применяющих УСН, доход учитывается в соответствии со статьей 346.15 НК РФ. Иными словами, величиной дохода является сумма фактически полученного ими дохода от осуществления предпринимательской деятельности за этот расчетный период. </w:t>
      </w:r>
    </w:p>
    <w:p w:rsidR="009C4484" w:rsidRDefault="009C4484" w:rsidP="00250CE5">
      <w:pPr>
        <w:pStyle w:val="a5"/>
        <w:shd w:val="clear" w:color="auto" w:fill="FFFFFF"/>
        <w:spacing w:before="0" w:beforeAutospacing="0" w:after="0" w:afterAutospacing="0"/>
        <w:ind w:firstLine="708"/>
        <w:contextualSpacing/>
        <w:jc w:val="both"/>
        <w:rPr>
          <w:rFonts w:ascii="Times New Roman" w:hAnsi="Times New Roman" w:cs="Times New Roman"/>
          <w:color w:val="000000"/>
          <w:spacing w:val="1"/>
        </w:rPr>
      </w:pPr>
      <w:r>
        <w:rPr>
          <w:rFonts w:ascii="Times New Roman" w:hAnsi="Times New Roman" w:cs="Times New Roman"/>
          <w:color w:val="000000"/>
          <w:spacing w:val="1"/>
        </w:rPr>
        <w:t>Расходы, предусмотренные статьей 346.16 НК РФ, в этом случае не учитываются.</w:t>
      </w:r>
    </w:p>
    <w:p w:rsidR="009C4484" w:rsidRDefault="009C4484" w:rsidP="00250CE5">
      <w:pPr>
        <w:ind w:firstLine="708"/>
        <w:jc w:val="both"/>
        <w:rPr>
          <w:color w:val="000000"/>
          <w:spacing w:val="1"/>
        </w:rPr>
      </w:pPr>
      <w:r>
        <w:rPr>
          <w:color w:val="000000"/>
          <w:spacing w:val="1"/>
        </w:rPr>
        <w:t xml:space="preserve">Отмечено при этом, что вычет сумм расходов при определении размера страховых взносов на ОПС за соответствующий расчетный период предусмотрен только в отношении тех индивидуальных предпринимателей, которые уплачивают НДФЛ. </w:t>
      </w:r>
      <w:proofErr w:type="gramStart"/>
      <w:r>
        <w:t xml:space="preserve">(Письмо </w:t>
      </w:r>
      <w:r>
        <w:rPr>
          <w:rFonts w:eastAsiaTheme="majorEastAsia"/>
          <w:i/>
          <w:iCs/>
        </w:rPr>
        <w:t xml:space="preserve">ФНС России от 21.02.2018 N ГД-4-11/3541@ (вместе с Минфина России от 12.02.2018 N 03-15-07/8369) </w:t>
      </w:r>
      <w:proofErr w:type="gramEnd"/>
    </w:p>
    <w:p w:rsidR="009C4484" w:rsidRDefault="009C4484" w:rsidP="00250CE5">
      <w:pPr>
        <w:autoSpaceDE w:val="0"/>
        <w:autoSpaceDN w:val="0"/>
        <w:adjustRightInd w:val="0"/>
        <w:jc w:val="both"/>
        <w:outlineLvl w:val="0"/>
        <w:rPr>
          <w:rFonts w:eastAsiaTheme="minorHAnsi"/>
          <w:b/>
          <w:bCs/>
          <w:sz w:val="20"/>
          <w:szCs w:val="20"/>
          <w:lang w:eastAsia="en-US"/>
        </w:rPr>
      </w:pPr>
    </w:p>
    <w:p w:rsidR="009C4484" w:rsidRDefault="009C4484" w:rsidP="009C4484">
      <w:pPr>
        <w:autoSpaceDE w:val="0"/>
        <w:autoSpaceDN w:val="0"/>
        <w:adjustRightInd w:val="0"/>
        <w:jc w:val="center"/>
        <w:outlineLvl w:val="0"/>
        <w:rPr>
          <w:rFonts w:eastAsiaTheme="minorHAnsi"/>
          <w:b/>
          <w:bCs/>
          <w:sz w:val="20"/>
          <w:szCs w:val="20"/>
          <w:lang w:eastAsia="en-US"/>
        </w:rPr>
      </w:pPr>
    </w:p>
    <w:p w:rsidR="009C4484" w:rsidRDefault="009C4484" w:rsidP="009C4484">
      <w:pPr>
        <w:autoSpaceDE w:val="0"/>
        <w:autoSpaceDN w:val="0"/>
        <w:adjustRightInd w:val="0"/>
        <w:jc w:val="center"/>
        <w:outlineLvl w:val="0"/>
        <w:rPr>
          <w:rFonts w:eastAsiaTheme="minorHAnsi"/>
          <w:bCs/>
          <w:lang w:eastAsia="en-US"/>
        </w:rPr>
      </w:pPr>
      <w:r>
        <w:rPr>
          <w:rFonts w:eastAsiaTheme="minorHAnsi"/>
          <w:bCs/>
          <w:lang w:eastAsia="en-US"/>
        </w:rPr>
        <w:t>МИНИСТЕРСТВО ФИНАНСОВ РОССИЙСКОЙ ФЕДЕРАЦИИ</w:t>
      </w:r>
    </w:p>
    <w:p w:rsidR="009C4484" w:rsidRDefault="009C4484" w:rsidP="009C4484">
      <w:pPr>
        <w:autoSpaceDE w:val="0"/>
        <w:autoSpaceDN w:val="0"/>
        <w:adjustRightInd w:val="0"/>
        <w:jc w:val="center"/>
        <w:rPr>
          <w:rFonts w:eastAsiaTheme="minorHAnsi"/>
          <w:bCs/>
          <w:lang w:eastAsia="en-US"/>
        </w:rPr>
      </w:pPr>
    </w:p>
    <w:p w:rsidR="009C4484" w:rsidRDefault="009C4484" w:rsidP="009C4484">
      <w:pPr>
        <w:autoSpaceDE w:val="0"/>
        <w:autoSpaceDN w:val="0"/>
        <w:adjustRightInd w:val="0"/>
        <w:jc w:val="center"/>
        <w:rPr>
          <w:rFonts w:eastAsiaTheme="minorHAnsi"/>
          <w:bCs/>
          <w:lang w:eastAsia="en-US"/>
        </w:rPr>
      </w:pPr>
      <w:r>
        <w:rPr>
          <w:rFonts w:eastAsiaTheme="minorHAnsi"/>
          <w:bCs/>
          <w:lang w:eastAsia="en-US"/>
        </w:rPr>
        <w:t>ФЕДЕРАЛЬНАЯ НАЛОГОВАЯ СЛУЖБА</w:t>
      </w:r>
    </w:p>
    <w:p w:rsidR="009C4484" w:rsidRDefault="009C4484" w:rsidP="009C4484">
      <w:pPr>
        <w:autoSpaceDE w:val="0"/>
        <w:autoSpaceDN w:val="0"/>
        <w:adjustRightInd w:val="0"/>
        <w:jc w:val="center"/>
        <w:rPr>
          <w:rFonts w:eastAsiaTheme="minorHAnsi"/>
          <w:bCs/>
          <w:lang w:eastAsia="en-US"/>
        </w:rPr>
      </w:pPr>
      <w:r>
        <w:rPr>
          <w:rFonts w:eastAsiaTheme="minorHAnsi"/>
          <w:bCs/>
          <w:lang w:eastAsia="en-US"/>
        </w:rPr>
        <w:t>ПИСЬМО</w:t>
      </w:r>
    </w:p>
    <w:p w:rsidR="009C4484" w:rsidRDefault="009C4484" w:rsidP="009C4484">
      <w:pPr>
        <w:autoSpaceDE w:val="0"/>
        <w:autoSpaceDN w:val="0"/>
        <w:adjustRightInd w:val="0"/>
        <w:jc w:val="center"/>
        <w:rPr>
          <w:rFonts w:eastAsiaTheme="minorHAnsi"/>
          <w:bCs/>
          <w:lang w:eastAsia="en-US"/>
        </w:rPr>
      </w:pPr>
      <w:r>
        <w:rPr>
          <w:rFonts w:eastAsiaTheme="minorHAnsi"/>
          <w:bCs/>
          <w:lang w:eastAsia="en-US"/>
        </w:rPr>
        <w:t>от 21 февраля 2018 г. N ГД-4-11/3541@</w:t>
      </w:r>
    </w:p>
    <w:p w:rsidR="009C4484" w:rsidRDefault="009C4484" w:rsidP="009C4484">
      <w:pPr>
        <w:autoSpaceDE w:val="0"/>
        <w:autoSpaceDN w:val="0"/>
        <w:adjustRightInd w:val="0"/>
        <w:jc w:val="both"/>
        <w:rPr>
          <w:rFonts w:eastAsiaTheme="minorHAnsi"/>
          <w:iCs/>
          <w:color w:val="0D0D0D" w:themeColor="text1" w:themeTint="F2"/>
          <w:lang w:eastAsia="en-US"/>
        </w:rPr>
      </w:pPr>
    </w:p>
    <w:p w:rsidR="009C4484" w:rsidRDefault="009C4484" w:rsidP="009C4484">
      <w:pPr>
        <w:autoSpaceDE w:val="0"/>
        <w:autoSpaceDN w:val="0"/>
        <w:adjustRightInd w:val="0"/>
        <w:ind w:firstLine="540"/>
        <w:jc w:val="both"/>
        <w:rPr>
          <w:rFonts w:eastAsiaTheme="minorHAnsi"/>
          <w:iCs/>
          <w:color w:val="0D0D0D" w:themeColor="text1" w:themeTint="F2"/>
          <w:lang w:eastAsia="en-US"/>
        </w:rPr>
      </w:pPr>
      <w:r>
        <w:rPr>
          <w:rFonts w:eastAsiaTheme="minorHAnsi"/>
          <w:iCs/>
          <w:color w:val="0D0D0D" w:themeColor="text1" w:themeTint="F2"/>
          <w:lang w:eastAsia="en-US"/>
        </w:rPr>
        <w:t xml:space="preserve">Федеральная налоговая служба направляет для сведения и использования в работе </w:t>
      </w:r>
      <w:hyperlink r:id="rId5" w:anchor="Par24" w:history="1">
        <w:r>
          <w:rPr>
            <w:rStyle w:val="a6"/>
            <w:rFonts w:eastAsiaTheme="minorHAnsi"/>
            <w:iCs/>
            <w:color w:val="0D0D0D" w:themeColor="text1" w:themeTint="F2"/>
            <w:lang w:eastAsia="en-US"/>
          </w:rPr>
          <w:t>письмо</w:t>
        </w:r>
      </w:hyperlink>
      <w:r>
        <w:rPr>
          <w:rFonts w:eastAsiaTheme="minorHAnsi"/>
          <w:iCs/>
          <w:color w:val="0D0D0D" w:themeColor="text1" w:themeTint="F2"/>
          <w:lang w:eastAsia="en-US"/>
        </w:rPr>
        <w:t xml:space="preserve"> Министерства финансов Российской Федерации от 12.02.2018 N 03-15-07/8369 по вопросу определения базы для исчисления страховых взносов индивидуальными предпринимателями, применяющими упрощенную систему налогообложения.</w:t>
      </w:r>
    </w:p>
    <w:p w:rsidR="009C4484" w:rsidRDefault="009C4484" w:rsidP="009C4484">
      <w:pPr>
        <w:autoSpaceDE w:val="0"/>
        <w:autoSpaceDN w:val="0"/>
        <w:adjustRightInd w:val="0"/>
        <w:spacing w:before="200"/>
        <w:ind w:firstLine="540"/>
        <w:jc w:val="both"/>
        <w:rPr>
          <w:rFonts w:eastAsiaTheme="minorHAnsi"/>
          <w:iCs/>
          <w:color w:val="0D0D0D" w:themeColor="text1" w:themeTint="F2"/>
          <w:lang w:eastAsia="en-US"/>
        </w:rPr>
      </w:pPr>
      <w:r>
        <w:rPr>
          <w:rFonts w:eastAsiaTheme="minorHAnsi"/>
          <w:iCs/>
          <w:color w:val="0D0D0D" w:themeColor="text1" w:themeTint="F2"/>
          <w:lang w:eastAsia="en-US"/>
        </w:rPr>
        <w:t xml:space="preserve">Доведите указанное </w:t>
      </w:r>
      <w:hyperlink r:id="rId6" w:anchor="Par24" w:history="1">
        <w:r>
          <w:rPr>
            <w:rStyle w:val="a6"/>
            <w:rFonts w:eastAsiaTheme="minorHAnsi"/>
            <w:iCs/>
            <w:color w:val="0D0D0D" w:themeColor="text1" w:themeTint="F2"/>
            <w:lang w:eastAsia="en-US"/>
          </w:rPr>
          <w:t>письмо</w:t>
        </w:r>
      </w:hyperlink>
      <w:r>
        <w:rPr>
          <w:rFonts w:eastAsiaTheme="minorHAnsi"/>
          <w:iCs/>
          <w:color w:val="0D0D0D" w:themeColor="text1" w:themeTint="F2"/>
          <w:lang w:eastAsia="en-US"/>
        </w:rPr>
        <w:t xml:space="preserve"> до нижестоящих налоговых органов и плательщиков страховых взносов.</w:t>
      </w:r>
    </w:p>
    <w:p w:rsidR="009C4484" w:rsidRDefault="009C4484" w:rsidP="009C4484">
      <w:pPr>
        <w:autoSpaceDE w:val="0"/>
        <w:autoSpaceDN w:val="0"/>
        <w:adjustRightInd w:val="0"/>
        <w:jc w:val="right"/>
        <w:rPr>
          <w:rFonts w:eastAsiaTheme="minorHAnsi"/>
          <w:iCs/>
          <w:color w:val="0D0D0D" w:themeColor="text1" w:themeTint="F2"/>
          <w:lang w:eastAsia="en-US"/>
        </w:rPr>
      </w:pPr>
      <w:r>
        <w:rPr>
          <w:rFonts w:eastAsiaTheme="minorHAnsi"/>
          <w:iCs/>
          <w:color w:val="0D0D0D" w:themeColor="text1" w:themeTint="F2"/>
          <w:lang w:eastAsia="en-US"/>
        </w:rPr>
        <w:t>Действительный</w:t>
      </w:r>
    </w:p>
    <w:p w:rsidR="009C4484" w:rsidRDefault="009C4484" w:rsidP="009C4484">
      <w:pPr>
        <w:autoSpaceDE w:val="0"/>
        <w:autoSpaceDN w:val="0"/>
        <w:adjustRightInd w:val="0"/>
        <w:jc w:val="right"/>
        <w:rPr>
          <w:rFonts w:eastAsiaTheme="minorHAnsi"/>
          <w:iCs/>
          <w:color w:val="0D0D0D" w:themeColor="text1" w:themeTint="F2"/>
          <w:lang w:eastAsia="en-US"/>
        </w:rPr>
      </w:pPr>
      <w:r>
        <w:rPr>
          <w:rFonts w:eastAsiaTheme="minorHAnsi"/>
          <w:iCs/>
          <w:color w:val="0D0D0D" w:themeColor="text1" w:themeTint="F2"/>
          <w:lang w:eastAsia="en-US"/>
        </w:rPr>
        <w:t>государственный советник</w:t>
      </w:r>
    </w:p>
    <w:p w:rsidR="009C4484" w:rsidRDefault="009C4484" w:rsidP="009C4484">
      <w:pPr>
        <w:autoSpaceDE w:val="0"/>
        <w:autoSpaceDN w:val="0"/>
        <w:adjustRightInd w:val="0"/>
        <w:jc w:val="right"/>
        <w:rPr>
          <w:rFonts w:eastAsiaTheme="minorHAnsi"/>
          <w:iCs/>
          <w:color w:val="0D0D0D" w:themeColor="text1" w:themeTint="F2"/>
          <w:lang w:eastAsia="en-US"/>
        </w:rPr>
      </w:pPr>
      <w:r>
        <w:rPr>
          <w:rFonts w:eastAsiaTheme="minorHAnsi"/>
          <w:iCs/>
          <w:color w:val="0D0D0D" w:themeColor="text1" w:themeTint="F2"/>
          <w:lang w:eastAsia="en-US"/>
        </w:rPr>
        <w:t>Российской Федерации</w:t>
      </w:r>
    </w:p>
    <w:p w:rsidR="009C4484" w:rsidRDefault="009C4484" w:rsidP="009C4484">
      <w:pPr>
        <w:autoSpaceDE w:val="0"/>
        <w:autoSpaceDN w:val="0"/>
        <w:adjustRightInd w:val="0"/>
        <w:jc w:val="right"/>
        <w:rPr>
          <w:rFonts w:eastAsiaTheme="minorHAnsi"/>
          <w:iCs/>
          <w:color w:val="0D0D0D" w:themeColor="text1" w:themeTint="F2"/>
          <w:lang w:eastAsia="en-US"/>
        </w:rPr>
      </w:pPr>
      <w:r>
        <w:rPr>
          <w:rFonts w:eastAsiaTheme="minorHAnsi"/>
          <w:iCs/>
          <w:color w:val="0D0D0D" w:themeColor="text1" w:themeTint="F2"/>
          <w:lang w:eastAsia="en-US"/>
        </w:rPr>
        <w:t>2 класса</w:t>
      </w:r>
    </w:p>
    <w:p w:rsidR="009C4484" w:rsidRDefault="009C4484" w:rsidP="009C4484">
      <w:pPr>
        <w:autoSpaceDE w:val="0"/>
        <w:autoSpaceDN w:val="0"/>
        <w:adjustRightInd w:val="0"/>
        <w:jc w:val="right"/>
        <w:rPr>
          <w:rFonts w:eastAsiaTheme="minorHAnsi"/>
          <w:iCs/>
          <w:color w:val="0D0D0D" w:themeColor="text1" w:themeTint="F2"/>
          <w:lang w:eastAsia="en-US"/>
        </w:rPr>
      </w:pPr>
      <w:r>
        <w:rPr>
          <w:rFonts w:eastAsiaTheme="minorHAnsi"/>
          <w:iCs/>
          <w:color w:val="0D0D0D" w:themeColor="text1" w:themeTint="F2"/>
          <w:lang w:eastAsia="en-US"/>
        </w:rPr>
        <w:t>Д.Ю.ГРИГОРЕНКО</w:t>
      </w:r>
    </w:p>
    <w:p w:rsidR="009C4484" w:rsidRDefault="009C4484" w:rsidP="009C4484">
      <w:pPr>
        <w:autoSpaceDE w:val="0"/>
        <w:autoSpaceDN w:val="0"/>
        <w:adjustRightInd w:val="0"/>
        <w:jc w:val="both"/>
        <w:rPr>
          <w:rFonts w:eastAsiaTheme="minorHAnsi"/>
          <w:iCs/>
          <w:color w:val="0D0D0D" w:themeColor="text1" w:themeTint="F2"/>
          <w:lang w:eastAsia="en-US"/>
        </w:rPr>
      </w:pPr>
    </w:p>
    <w:p w:rsidR="009C4484" w:rsidRDefault="009C4484" w:rsidP="009C4484">
      <w:pPr>
        <w:autoSpaceDE w:val="0"/>
        <w:autoSpaceDN w:val="0"/>
        <w:adjustRightInd w:val="0"/>
        <w:jc w:val="right"/>
        <w:outlineLvl w:val="0"/>
        <w:rPr>
          <w:rFonts w:eastAsiaTheme="minorHAnsi"/>
          <w:iCs/>
          <w:color w:val="0D0D0D" w:themeColor="text1" w:themeTint="F2"/>
          <w:lang w:eastAsia="en-US"/>
        </w:rPr>
      </w:pPr>
      <w:r>
        <w:rPr>
          <w:rFonts w:eastAsiaTheme="minorHAnsi"/>
          <w:iCs/>
          <w:color w:val="0D0D0D" w:themeColor="text1" w:themeTint="F2"/>
          <w:lang w:eastAsia="en-US"/>
        </w:rPr>
        <w:t>Приложение</w:t>
      </w:r>
    </w:p>
    <w:p w:rsidR="009C4484" w:rsidRDefault="009C4484" w:rsidP="009C4484">
      <w:pPr>
        <w:autoSpaceDE w:val="0"/>
        <w:autoSpaceDN w:val="0"/>
        <w:adjustRightInd w:val="0"/>
        <w:jc w:val="both"/>
        <w:rPr>
          <w:rFonts w:eastAsiaTheme="minorHAnsi"/>
          <w:iCs/>
          <w:color w:val="0D0D0D" w:themeColor="text1" w:themeTint="F2"/>
          <w:lang w:eastAsia="en-US"/>
        </w:rPr>
      </w:pPr>
    </w:p>
    <w:p w:rsidR="009C4484" w:rsidRDefault="009C4484" w:rsidP="009C4484">
      <w:pPr>
        <w:autoSpaceDE w:val="0"/>
        <w:autoSpaceDN w:val="0"/>
        <w:adjustRightInd w:val="0"/>
        <w:jc w:val="center"/>
        <w:rPr>
          <w:rFonts w:eastAsiaTheme="minorHAnsi"/>
          <w:bCs/>
          <w:color w:val="0D0D0D" w:themeColor="text1" w:themeTint="F2"/>
          <w:lang w:eastAsia="en-US"/>
        </w:rPr>
      </w:pPr>
      <w:r>
        <w:rPr>
          <w:rFonts w:eastAsiaTheme="minorHAnsi"/>
          <w:bCs/>
          <w:color w:val="0D0D0D" w:themeColor="text1" w:themeTint="F2"/>
          <w:lang w:eastAsia="en-US"/>
        </w:rPr>
        <w:t>МИНИСТЕРСТВО ФИНАНСОВ РОССИЙСКОЙ ФЕДЕРАЦИИ</w:t>
      </w:r>
    </w:p>
    <w:p w:rsidR="009C4484" w:rsidRDefault="009C4484" w:rsidP="009C4484">
      <w:pPr>
        <w:autoSpaceDE w:val="0"/>
        <w:autoSpaceDN w:val="0"/>
        <w:adjustRightInd w:val="0"/>
        <w:jc w:val="center"/>
        <w:rPr>
          <w:rFonts w:eastAsiaTheme="minorHAnsi"/>
          <w:bCs/>
          <w:color w:val="0D0D0D" w:themeColor="text1" w:themeTint="F2"/>
          <w:lang w:eastAsia="en-US"/>
        </w:rPr>
      </w:pPr>
      <w:bookmarkStart w:id="0" w:name="Par24"/>
      <w:bookmarkEnd w:id="0"/>
      <w:r>
        <w:rPr>
          <w:rFonts w:eastAsiaTheme="minorHAnsi"/>
          <w:bCs/>
          <w:color w:val="0D0D0D" w:themeColor="text1" w:themeTint="F2"/>
          <w:lang w:eastAsia="en-US"/>
        </w:rPr>
        <w:t>ПИСЬМО</w:t>
      </w:r>
    </w:p>
    <w:p w:rsidR="009C4484" w:rsidRDefault="009C4484" w:rsidP="009C4484">
      <w:pPr>
        <w:autoSpaceDE w:val="0"/>
        <w:autoSpaceDN w:val="0"/>
        <w:adjustRightInd w:val="0"/>
        <w:jc w:val="center"/>
        <w:rPr>
          <w:rFonts w:eastAsiaTheme="minorHAnsi"/>
          <w:bCs/>
          <w:color w:val="0D0D0D" w:themeColor="text1" w:themeTint="F2"/>
          <w:lang w:eastAsia="en-US"/>
        </w:rPr>
      </w:pPr>
      <w:r>
        <w:rPr>
          <w:rFonts w:eastAsiaTheme="minorHAnsi"/>
          <w:bCs/>
          <w:color w:val="0D0D0D" w:themeColor="text1" w:themeTint="F2"/>
          <w:lang w:eastAsia="en-US"/>
        </w:rPr>
        <w:t>от 12 февраля 2018 г. N 03-15-07/8369</w:t>
      </w:r>
    </w:p>
    <w:p w:rsidR="009C4484" w:rsidRDefault="009C4484" w:rsidP="009C4484">
      <w:pPr>
        <w:autoSpaceDE w:val="0"/>
        <w:autoSpaceDN w:val="0"/>
        <w:adjustRightInd w:val="0"/>
        <w:jc w:val="both"/>
        <w:rPr>
          <w:rFonts w:eastAsiaTheme="minorHAnsi"/>
          <w:iCs/>
          <w:color w:val="0D0D0D" w:themeColor="text1" w:themeTint="F2"/>
          <w:lang w:eastAsia="en-US"/>
        </w:rPr>
      </w:pPr>
    </w:p>
    <w:p w:rsidR="009C4484" w:rsidRDefault="009C4484" w:rsidP="009C4484">
      <w:pPr>
        <w:autoSpaceDE w:val="0"/>
        <w:autoSpaceDN w:val="0"/>
        <w:adjustRightInd w:val="0"/>
        <w:ind w:firstLine="540"/>
        <w:jc w:val="both"/>
        <w:rPr>
          <w:rFonts w:eastAsiaTheme="minorHAnsi"/>
          <w:iCs/>
          <w:color w:val="0D0D0D" w:themeColor="text1" w:themeTint="F2"/>
          <w:lang w:eastAsia="en-US"/>
        </w:rPr>
      </w:pPr>
      <w:r>
        <w:rPr>
          <w:rFonts w:eastAsiaTheme="minorHAnsi"/>
          <w:iCs/>
          <w:color w:val="0D0D0D" w:themeColor="text1" w:themeTint="F2"/>
          <w:lang w:eastAsia="en-US"/>
        </w:rPr>
        <w:t>Департамент налоговой и таможенной политики рассмотрел обращение по вопросу определения базы для исчисления страховых взносов на обязательное пенсионное страхование индивидуальными предпринимателями, применяющими упрощенную систему налогообложения (далее - УСН), и сообщает следующее.</w:t>
      </w:r>
    </w:p>
    <w:p w:rsidR="009C4484"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Pr>
          <w:rFonts w:eastAsiaTheme="minorHAnsi"/>
          <w:iCs/>
          <w:color w:val="0D0D0D" w:themeColor="text1" w:themeTint="F2"/>
          <w:lang w:eastAsia="en-US"/>
        </w:rPr>
        <w:t xml:space="preserve">Согласно </w:t>
      </w:r>
      <w:hyperlink r:id="rId7" w:history="1">
        <w:r>
          <w:rPr>
            <w:rStyle w:val="a6"/>
            <w:rFonts w:eastAsiaTheme="minorHAnsi"/>
            <w:iCs/>
            <w:color w:val="0D0D0D" w:themeColor="text1" w:themeTint="F2"/>
            <w:lang w:eastAsia="en-US"/>
          </w:rPr>
          <w:t>пункту 1 статьи 419</w:t>
        </w:r>
      </w:hyperlink>
      <w:r>
        <w:rPr>
          <w:rFonts w:eastAsiaTheme="minorHAnsi"/>
          <w:iCs/>
          <w:color w:val="0D0D0D" w:themeColor="text1" w:themeTint="F2"/>
          <w:lang w:eastAsia="en-US"/>
        </w:rPr>
        <w:t xml:space="preserve"> Налогового кодекса Российской Федерации (далее - Налоговый кодекс) индивидуальные предприниматели являются плательщиками страховых взносов.</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Pr>
          <w:rFonts w:eastAsiaTheme="minorHAnsi"/>
          <w:iCs/>
          <w:color w:val="0D0D0D" w:themeColor="text1" w:themeTint="F2"/>
          <w:lang w:eastAsia="en-US"/>
        </w:rPr>
        <w:lastRenderedPageBreak/>
        <w:t xml:space="preserve">Положениями </w:t>
      </w:r>
      <w:hyperlink r:id="rId8" w:history="1">
        <w:r w:rsidRPr="00250CE5">
          <w:rPr>
            <w:rStyle w:val="a6"/>
            <w:rFonts w:eastAsiaTheme="minorHAnsi"/>
            <w:iCs/>
            <w:color w:val="0D0D0D" w:themeColor="text1" w:themeTint="F2"/>
            <w:u w:val="none"/>
            <w:lang w:eastAsia="en-US"/>
          </w:rPr>
          <w:t>подпункта 1 пункта 1 статьи 430</w:t>
        </w:r>
      </w:hyperlink>
      <w:r w:rsidRPr="00250CE5">
        <w:rPr>
          <w:rFonts w:eastAsiaTheme="minorHAnsi"/>
          <w:iCs/>
          <w:color w:val="0D0D0D" w:themeColor="text1" w:themeTint="F2"/>
          <w:lang w:eastAsia="en-US"/>
        </w:rPr>
        <w:t xml:space="preserve"> Налогового кодекса установлен дифференцированный подход к определению размера страховых взносов на обязательное пенсионное страхование за себя для индивидуальных предпринимателей </w:t>
      </w:r>
      <w:proofErr w:type="gramStart"/>
      <w:r w:rsidRPr="00250CE5">
        <w:rPr>
          <w:rFonts w:eastAsiaTheme="minorHAnsi"/>
          <w:iCs/>
          <w:color w:val="0D0D0D" w:themeColor="text1" w:themeTint="F2"/>
          <w:lang w:eastAsia="en-US"/>
        </w:rPr>
        <w:t>исходя из их дохода, который заключается</w:t>
      </w:r>
      <w:proofErr w:type="gramEnd"/>
      <w:r w:rsidRPr="00250CE5">
        <w:rPr>
          <w:rFonts w:eastAsiaTheme="minorHAnsi"/>
          <w:iCs/>
          <w:color w:val="0D0D0D" w:themeColor="text1" w:themeTint="F2"/>
          <w:lang w:eastAsia="en-US"/>
        </w:rPr>
        <w:t xml:space="preserve"> в следующем:</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в случае</w:t>
      </w:r>
      <w:proofErr w:type="gramStart"/>
      <w:r w:rsidRPr="00250CE5">
        <w:rPr>
          <w:rFonts w:eastAsiaTheme="minorHAnsi"/>
          <w:iCs/>
          <w:color w:val="0D0D0D" w:themeColor="text1" w:themeTint="F2"/>
          <w:lang w:eastAsia="en-US"/>
        </w:rPr>
        <w:t>,</w:t>
      </w:r>
      <w:proofErr w:type="gramEnd"/>
      <w:r w:rsidRPr="00250CE5">
        <w:rPr>
          <w:rFonts w:eastAsiaTheme="minorHAnsi"/>
          <w:iCs/>
          <w:color w:val="0D0D0D" w:themeColor="text1" w:themeTint="F2"/>
          <w:lang w:eastAsia="en-US"/>
        </w:rPr>
        <w:t xml:space="preserve"> если величина дохода индивидуального предпринимателя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в случае</w:t>
      </w:r>
      <w:proofErr w:type="gramStart"/>
      <w:r w:rsidRPr="00250CE5">
        <w:rPr>
          <w:rFonts w:eastAsiaTheme="minorHAnsi"/>
          <w:iCs/>
          <w:color w:val="0D0D0D" w:themeColor="text1" w:themeTint="F2"/>
          <w:lang w:eastAsia="en-US"/>
        </w:rPr>
        <w:t>,</w:t>
      </w:r>
      <w:proofErr w:type="gramEnd"/>
      <w:r w:rsidRPr="00250CE5">
        <w:rPr>
          <w:rFonts w:eastAsiaTheme="minorHAnsi"/>
          <w:iCs/>
          <w:color w:val="0D0D0D" w:themeColor="text1" w:themeTint="F2"/>
          <w:lang w:eastAsia="en-US"/>
        </w:rPr>
        <w:t xml:space="preserve"> если величина дохода индивидуального предпринимателя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суммы дохода индивидуального предпринимателя, превышающего 300 000 рублей за расчетный период.</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При этом размер страховых взносов на обязательное пенсионное страхование за расчетный период не может быть </w:t>
      </w:r>
      <w:proofErr w:type="gramStart"/>
      <w:r w:rsidRPr="00250CE5">
        <w:rPr>
          <w:rFonts w:eastAsiaTheme="minorHAnsi"/>
          <w:iCs/>
          <w:color w:val="0D0D0D" w:themeColor="text1" w:themeTint="F2"/>
          <w:lang w:eastAsia="en-US"/>
        </w:rPr>
        <w:t>более восьмикратного</w:t>
      </w:r>
      <w:proofErr w:type="gramEnd"/>
      <w:r w:rsidRPr="00250CE5">
        <w:rPr>
          <w:rFonts w:eastAsiaTheme="minorHAnsi"/>
          <w:iCs/>
          <w:color w:val="0D0D0D" w:themeColor="text1" w:themeTint="F2"/>
          <w:lang w:eastAsia="en-US"/>
        </w:rPr>
        <w:t xml:space="preserve"> фиксированного размера страховых взносов на обязательное пенсионное страхование, установленного </w:t>
      </w:r>
      <w:hyperlink r:id="rId9" w:history="1">
        <w:r w:rsidRPr="00250CE5">
          <w:rPr>
            <w:rStyle w:val="a6"/>
            <w:rFonts w:eastAsiaTheme="minorHAnsi"/>
            <w:iCs/>
            <w:color w:val="0D0D0D" w:themeColor="text1" w:themeTint="F2"/>
            <w:u w:val="none"/>
            <w:lang w:eastAsia="en-US"/>
          </w:rPr>
          <w:t>абзацем вторым подпункта 1 пункта 1 статьи 430</w:t>
        </w:r>
      </w:hyperlink>
      <w:r w:rsidRPr="00250CE5">
        <w:rPr>
          <w:rFonts w:eastAsiaTheme="minorHAnsi"/>
          <w:iCs/>
          <w:color w:val="0D0D0D" w:themeColor="text1" w:themeTint="F2"/>
          <w:lang w:eastAsia="en-US"/>
        </w:rPr>
        <w:t xml:space="preserve"> Налогового кодекса.</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Учитывая изложенное, если доход индивидуального предпринимателя в расчетном периоде превышает 300 000 руб., то такой индивидуальный предприниматель, помимо фиксированного размера страховых взносов доплачивает на свое пенсионное страхование 1,0 процента с суммы дохода, превышающего 300 000 руб., но до определенной предельной величины.</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При этом согласно </w:t>
      </w:r>
      <w:hyperlink r:id="rId10" w:history="1">
        <w:r w:rsidRPr="00250CE5">
          <w:rPr>
            <w:rStyle w:val="a6"/>
            <w:rFonts w:eastAsiaTheme="minorHAnsi"/>
            <w:iCs/>
            <w:color w:val="0D0D0D" w:themeColor="text1" w:themeTint="F2"/>
            <w:u w:val="none"/>
            <w:lang w:eastAsia="en-US"/>
          </w:rPr>
          <w:t>подпункту 3 пункта 9 статьи 430</w:t>
        </w:r>
      </w:hyperlink>
      <w:r w:rsidRPr="00250CE5">
        <w:rPr>
          <w:rFonts w:eastAsiaTheme="minorHAnsi"/>
          <w:iCs/>
          <w:color w:val="0D0D0D" w:themeColor="text1" w:themeTint="F2"/>
          <w:lang w:eastAsia="en-US"/>
        </w:rPr>
        <w:t xml:space="preserve"> Налогового кодекса в целях применения положений пункта 1 данной статьи для плательщиков, применяющих УСН, доход учитывается в соответствии со </w:t>
      </w:r>
      <w:hyperlink r:id="rId11" w:history="1">
        <w:r w:rsidRPr="00250CE5">
          <w:rPr>
            <w:rStyle w:val="a6"/>
            <w:rFonts w:eastAsiaTheme="minorHAnsi"/>
            <w:iCs/>
            <w:color w:val="0D0D0D" w:themeColor="text1" w:themeTint="F2"/>
            <w:u w:val="none"/>
            <w:lang w:eastAsia="en-US"/>
          </w:rPr>
          <w:t>статьей 346.15</w:t>
        </w:r>
      </w:hyperlink>
      <w:r w:rsidRPr="00250CE5">
        <w:rPr>
          <w:rFonts w:eastAsiaTheme="minorHAnsi"/>
          <w:iCs/>
          <w:color w:val="0D0D0D" w:themeColor="text1" w:themeTint="F2"/>
          <w:lang w:eastAsia="en-US"/>
        </w:rPr>
        <w:t xml:space="preserve"> Налогового кодекса.</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Исходя из положений </w:t>
      </w:r>
      <w:hyperlink r:id="rId12" w:history="1">
        <w:r w:rsidRPr="00250CE5">
          <w:rPr>
            <w:rStyle w:val="a6"/>
            <w:rFonts w:eastAsiaTheme="minorHAnsi"/>
            <w:iCs/>
            <w:color w:val="0D0D0D" w:themeColor="text1" w:themeTint="F2"/>
            <w:u w:val="none"/>
            <w:lang w:eastAsia="en-US"/>
          </w:rPr>
          <w:t>статьи 346.15</w:t>
        </w:r>
      </w:hyperlink>
      <w:r w:rsidRPr="00250CE5">
        <w:rPr>
          <w:rFonts w:eastAsiaTheme="minorHAnsi"/>
          <w:iCs/>
          <w:color w:val="0D0D0D" w:themeColor="text1" w:themeTint="F2"/>
          <w:lang w:eastAsia="en-US"/>
        </w:rPr>
        <w:t xml:space="preserve"> Налогового кодекса, индивидуальные предприниматели, применяющие УСН, при определении доходов учитывают доходы, упомянутые в </w:t>
      </w:r>
      <w:hyperlink r:id="rId13" w:history="1">
        <w:r w:rsidRPr="00250CE5">
          <w:rPr>
            <w:rStyle w:val="a6"/>
            <w:rFonts w:eastAsiaTheme="minorHAnsi"/>
            <w:iCs/>
            <w:color w:val="0D0D0D" w:themeColor="text1" w:themeTint="F2"/>
            <w:u w:val="none"/>
            <w:lang w:eastAsia="en-US"/>
          </w:rPr>
          <w:t>пунктах 1</w:t>
        </w:r>
      </w:hyperlink>
      <w:r w:rsidRPr="00250CE5">
        <w:rPr>
          <w:rFonts w:eastAsiaTheme="minorHAnsi"/>
          <w:iCs/>
          <w:color w:val="0D0D0D" w:themeColor="text1" w:themeTint="F2"/>
          <w:lang w:eastAsia="en-US"/>
        </w:rPr>
        <w:t xml:space="preserve"> и </w:t>
      </w:r>
      <w:hyperlink r:id="rId14" w:history="1">
        <w:r w:rsidRPr="00250CE5">
          <w:rPr>
            <w:rStyle w:val="a6"/>
            <w:rFonts w:eastAsiaTheme="minorHAnsi"/>
            <w:iCs/>
            <w:color w:val="0D0D0D" w:themeColor="text1" w:themeTint="F2"/>
            <w:u w:val="none"/>
            <w:lang w:eastAsia="en-US"/>
          </w:rPr>
          <w:t>2 статьи 248</w:t>
        </w:r>
      </w:hyperlink>
      <w:r w:rsidRPr="00250CE5">
        <w:rPr>
          <w:rFonts w:eastAsiaTheme="minorHAnsi"/>
          <w:iCs/>
          <w:color w:val="0D0D0D" w:themeColor="text1" w:themeTint="F2"/>
          <w:lang w:eastAsia="en-US"/>
        </w:rPr>
        <w:t xml:space="preserve"> Налогового кодекса.</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Таким образом, в целях определения размера страхового взноса по обязательному пенсионному страхованию за соответствующий расчетный период для индивидуальных предпринимателей на УСН, как производящих, так и не производящих выплаты и иные вознаграждения физическим лицам, величиной дохода является сумма фактически полученного ими дохода от осуществления предпринимательской деятельности за этот расчетный период. Расходы, предусмотренные </w:t>
      </w:r>
      <w:hyperlink r:id="rId15" w:history="1">
        <w:r w:rsidRPr="00250CE5">
          <w:rPr>
            <w:rStyle w:val="a6"/>
            <w:rFonts w:eastAsiaTheme="minorHAnsi"/>
            <w:iCs/>
            <w:color w:val="0D0D0D" w:themeColor="text1" w:themeTint="F2"/>
            <w:u w:val="none"/>
            <w:lang w:eastAsia="en-US"/>
          </w:rPr>
          <w:t>статьей 346.16</w:t>
        </w:r>
      </w:hyperlink>
      <w:r w:rsidRPr="00250CE5">
        <w:rPr>
          <w:rFonts w:eastAsiaTheme="minorHAnsi"/>
          <w:iCs/>
          <w:color w:val="0D0D0D" w:themeColor="text1" w:themeTint="F2"/>
          <w:lang w:eastAsia="en-US"/>
        </w:rPr>
        <w:t xml:space="preserve"> Налогового кодекса, в этом случае не учитываются.</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Необходимо отметить, что положения </w:t>
      </w:r>
      <w:hyperlink r:id="rId16" w:history="1">
        <w:r w:rsidRPr="00250CE5">
          <w:rPr>
            <w:rStyle w:val="a6"/>
            <w:rFonts w:eastAsiaTheme="minorHAnsi"/>
            <w:iCs/>
            <w:color w:val="0D0D0D" w:themeColor="text1" w:themeTint="F2"/>
            <w:u w:val="none"/>
            <w:lang w:eastAsia="en-US"/>
          </w:rPr>
          <w:t>подпункта 1 пункта 1 статьи 430</w:t>
        </w:r>
      </w:hyperlink>
      <w:r w:rsidRPr="00250CE5">
        <w:rPr>
          <w:rFonts w:eastAsiaTheme="minorHAnsi"/>
          <w:iCs/>
          <w:color w:val="0D0D0D" w:themeColor="text1" w:themeTint="F2"/>
          <w:lang w:eastAsia="en-US"/>
        </w:rPr>
        <w:t xml:space="preserve"> Налогового кодекса об определении размера страховых взносов на обязательное пенсионное </w:t>
      </w:r>
      <w:proofErr w:type="gramStart"/>
      <w:r w:rsidRPr="00250CE5">
        <w:rPr>
          <w:rFonts w:eastAsiaTheme="minorHAnsi"/>
          <w:iCs/>
          <w:color w:val="0D0D0D" w:themeColor="text1" w:themeTint="F2"/>
          <w:lang w:eastAsia="en-US"/>
        </w:rPr>
        <w:t>страхование</w:t>
      </w:r>
      <w:proofErr w:type="gramEnd"/>
      <w:r w:rsidRPr="00250CE5">
        <w:rPr>
          <w:rFonts w:eastAsiaTheme="minorHAnsi"/>
          <w:iCs/>
          <w:color w:val="0D0D0D" w:themeColor="text1" w:themeTint="F2"/>
          <w:lang w:eastAsia="en-US"/>
        </w:rPr>
        <w:t xml:space="preserve"> для индивидуального предпринимателя исходя из его дохода не увязываются с определением таким индивидуальным предпринимателем его налоговой базы при уплате соответствующего налога в зависимости от применяемого </w:t>
      </w:r>
      <w:bookmarkStart w:id="1" w:name="_GoBack"/>
      <w:bookmarkEnd w:id="1"/>
      <w:r w:rsidRPr="00250CE5">
        <w:rPr>
          <w:rFonts w:eastAsiaTheme="minorHAnsi"/>
          <w:iCs/>
          <w:color w:val="0D0D0D" w:themeColor="text1" w:themeTint="F2"/>
          <w:lang w:eastAsia="en-US"/>
        </w:rPr>
        <w:t>специального налогового режима (система налогообложения в виде единого налога на вмененный доход для отдельных видов деятельности, упрощенная система налогообложения, патентная система налогообложения и т.д.).</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С учетом </w:t>
      </w:r>
      <w:proofErr w:type="gramStart"/>
      <w:r w:rsidRPr="00250CE5">
        <w:rPr>
          <w:rFonts w:eastAsiaTheme="minorHAnsi"/>
          <w:iCs/>
          <w:color w:val="0D0D0D" w:themeColor="text1" w:themeTint="F2"/>
          <w:lang w:eastAsia="en-US"/>
        </w:rPr>
        <w:t>вышеизложенного</w:t>
      </w:r>
      <w:proofErr w:type="gramEnd"/>
      <w:r w:rsidRPr="00250CE5">
        <w:rPr>
          <w:rFonts w:eastAsiaTheme="minorHAnsi"/>
          <w:iCs/>
          <w:color w:val="0D0D0D" w:themeColor="text1" w:themeTint="F2"/>
          <w:lang w:eastAsia="en-US"/>
        </w:rPr>
        <w:t xml:space="preserve"> и принимая во внимание то, что не все индивидуальные предприниматели ведут учет расходов, формирование пенсионных прав не должно увязываться с конечным результатом предпринимательской деятельности индивидуальных предпринимателей за тот или иной конкретный (налоговый) период (прибыль, убыток).</w:t>
      </w:r>
    </w:p>
    <w:p w:rsidR="009C4484" w:rsidRPr="00250CE5" w:rsidRDefault="009C4484" w:rsidP="009C4484">
      <w:pPr>
        <w:autoSpaceDE w:val="0"/>
        <w:autoSpaceDN w:val="0"/>
        <w:adjustRightInd w:val="0"/>
        <w:spacing w:before="200"/>
        <w:ind w:firstLine="540"/>
        <w:contextualSpacing/>
        <w:jc w:val="both"/>
        <w:rPr>
          <w:rFonts w:eastAsiaTheme="minorHAnsi"/>
          <w:iCs/>
          <w:color w:val="0D0D0D" w:themeColor="text1" w:themeTint="F2"/>
          <w:lang w:eastAsia="en-US"/>
        </w:rPr>
      </w:pPr>
      <w:r w:rsidRPr="00250CE5">
        <w:rPr>
          <w:rFonts w:eastAsiaTheme="minorHAnsi"/>
          <w:iCs/>
          <w:color w:val="0D0D0D" w:themeColor="text1" w:themeTint="F2"/>
          <w:lang w:eastAsia="en-US"/>
        </w:rPr>
        <w:t xml:space="preserve">Налоговым </w:t>
      </w:r>
      <w:hyperlink r:id="rId17" w:history="1">
        <w:r w:rsidRPr="00250CE5">
          <w:rPr>
            <w:rStyle w:val="a6"/>
            <w:rFonts w:eastAsiaTheme="minorHAnsi"/>
            <w:iCs/>
            <w:color w:val="0D0D0D" w:themeColor="text1" w:themeTint="F2"/>
            <w:u w:val="none"/>
            <w:lang w:eastAsia="en-US"/>
          </w:rPr>
          <w:t>кодексом</w:t>
        </w:r>
      </w:hyperlink>
      <w:r w:rsidRPr="00250CE5">
        <w:rPr>
          <w:rFonts w:eastAsiaTheme="minorHAnsi"/>
          <w:iCs/>
          <w:color w:val="0D0D0D" w:themeColor="text1" w:themeTint="F2"/>
          <w:lang w:eastAsia="en-US"/>
        </w:rPr>
        <w:t xml:space="preserve"> вычет сумм расходов при определении размера страховых взносов на обязательное пенсионное страхование за соответствующий расчетный период предусмотрен только в отношении тех индивидуальных предпринимателей, которые уплачивают налог на доходы физических лиц. Норм, распространяющих данный подход на иных плательщиков на других налоговых режимах, Налоговый </w:t>
      </w:r>
      <w:hyperlink r:id="rId18" w:history="1">
        <w:r w:rsidRPr="00250CE5">
          <w:rPr>
            <w:rStyle w:val="a6"/>
            <w:rFonts w:eastAsiaTheme="minorHAnsi"/>
            <w:iCs/>
            <w:color w:val="0D0D0D" w:themeColor="text1" w:themeTint="F2"/>
            <w:u w:val="none"/>
            <w:lang w:eastAsia="en-US"/>
          </w:rPr>
          <w:t>кодекс</w:t>
        </w:r>
      </w:hyperlink>
      <w:r w:rsidRPr="00250CE5">
        <w:rPr>
          <w:rFonts w:eastAsiaTheme="minorHAnsi"/>
          <w:iCs/>
          <w:color w:val="0D0D0D" w:themeColor="text1" w:themeTint="F2"/>
          <w:lang w:eastAsia="en-US"/>
        </w:rPr>
        <w:t xml:space="preserve"> не содержит.</w:t>
      </w:r>
    </w:p>
    <w:p w:rsidR="009C4484" w:rsidRPr="00250CE5" w:rsidRDefault="009C4484" w:rsidP="009C4484">
      <w:pPr>
        <w:autoSpaceDE w:val="0"/>
        <w:autoSpaceDN w:val="0"/>
        <w:adjustRightInd w:val="0"/>
        <w:jc w:val="both"/>
        <w:rPr>
          <w:rFonts w:eastAsiaTheme="minorHAnsi"/>
          <w:iCs/>
          <w:color w:val="0D0D0D" w:themeColor="text1" w:themeTint="F2"/>
          <w:lang w:eastAsia="en-US"/>
        </w:rPr>
      </w:pPr>
    </w:p>
    <w:p w:rsidR="009C4484" w:rsidRDefault="009C4484" w:rsidP="009C4484">
      <w:pPr>
        <w:autoSpaceDE w:val="0"/>
        <w:autoSpaceDN w:val="0"/>
        <w:adjustRightInd w:val="0"/>
        <w:jc w:val="right"/>
        <w:rPr>
          <w:rFonts w:eastAsiaTheme="minorHAnsi"/>
          <w:iCs/>
          <w:lang w:eastAsia="en-US"/>
        </w:rPr>
      </w:pPr>
      <w:r>
        <w:rPr>
          <w:rFonts w:eastAsiaTheme="minorHAnsi"/>
          <w:iCs/>
          <w:lang w:eastAsia="en-US"/>
        </w:rPr>
        <w:t>Директор Департамента</w:t>
      </w:r>
    </w:p>
    <w:p w:rsidR="009C4484" w:rsidRDefault="009C4484" w:rsidP="009C4484">
      <w:pPr>
        <w:autoSpaceDE w:val="0"/>
        <w:autoSpaceDN w:val="0"/>
        <w:adjustRightInd w:val="0"/>
        <w:jc w:val="right"/>
        <w:rPr>
          <w:rFonts w:eastAsiaTheme="minorHAnsi"/>
          <w:iCs/>
          <w:lang w:eastAsia="en-US"/>
        </w:rPr>
      </w:pPr>
      <w:r>
        <w:rPr>
          <w:rFonts w:eastAsiaTheme="minorHAnsi"/>
          <w:iCs/>
          <w:lang w:eastAsia="en-US"/>
        </w:rPr>
        <w:t>А.В.САЗАНОВ</w:t>
      </w:r>
    </w:p>
    <w:p w:rsidR="009C4484" w:rsidRDefault="009C4484" w:rsidP="009C4484"/>
    <w:p w:rsidR="00C3671D" w:rsidRDefault="00C3671D"/>
    <w:sectPr w:rsidR="00C3671D" w:rsidSect="009C4484">
      <w:pgSz w:w="11906" w:h="16838"/>
      <w:pgMar w:top="964"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42"/>
    <w:rsid w:val="00250CE5"/>
    <w:rsid w:val="006A26F7"/>
    <w:rsid w:val="00766942"/>
    <w:rsid w:val="009C4484"/>
    <w:rsid w:val="00C3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6F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link w:val="a5"/>
    <w:uiPriority w:val="99"/>
    <w:semiHidden/>
    <w:locked/>
    <w:rsid w:val="009C4484"/>
    <w:rPr>
      <w:sz w:val="24"/>
      <w:szCs w:val="24"/>
      <w:lang w:val="x-none" w:eastAsia="x-none"/>
    </w:rPr>
  </w:style>
  <w:style w:type="paragraph" w:styleId="a5">
    <w:name w:val="Normal (Web)"/>
    <w:basedOn w:val="a"/>
    <w:link w:val="a4"/>
    <w:uiPriority w:val="99"/>
    <w:semiHidden/>
    <w:unhideWhenUsed/>
    <w:rsid w:val="009C4484"/>
    <w:pPr>
      <w:spacing w:before="100" w:beforeAutospacing="1" w:after="100" w:afterAutospacing="1"/>
    </w:pPr>
    <w:rPr>
      <w:rFonts w:asciiTheme="minorHAnsi" w:eastAsiaTheme="minorHAnsi" w:hAnsiTheme="minorHAnsi" w:cstheme="minorBidi"/>
      <w:lang w:val="x-none" w:eastAsia="x-none"/>
    </w:rPr>
  </w:style>
  <w:style w:type="character" w:styleId="a6">
    <w:name w:val="Hyperlink"/>
    <w:basedOn w:val="a0"/>
    <w:uiPriority w:val="99"/>
    <w:semiHidden/>
    <w:unhideWhenUsed/>
    <w:rsid w:val="009C4484"/>
    <w:rPr>
      <w:color w:val="0000FF"/>
      <w:u w:val="single"/>
    </w:rPr>
  </w:style>
  <w:style w:type="paragraph" w:styleId="a7">
    <w:name w:val="Balloon Text"/>
    <w:basedOn w:val="a"/>
    <w:link w:val="a8"/>
    <w:uiPriority w:val="99"/>
    <w:semiHidden/>
    <w:unhideWhenUsed/>
    <w:rsid w:val="00250CE5"/>
    <w:rPr>
      <w:rFonts w:ascii="Tahoma" w:hAnsi="Tahoma" w:cs="Tahoma"/>
      <w:sz w:val="16"/>
      <w:szCs w:val="16"/>
    </w:rPr>
  </w:style>
  <w:style w:type="character" w:customStyle="1" w:styleId="a8">
    <w:name w:val="Текст выноски Знак"/>
    <w:basedOn w:val="a0"/>
    <w:link w:val="a7"/>
    <w:uiPriority w:val="99"/>
    <w:semiHidden/>
    <w:rsid w:val="00250C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26F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4">
    <w:name w:val="heading 4"/>
    <w:basedOn w:val="a"/>
    <w:next w:val="a"/>
    <w:link w:val="40"/>
    <w:uiPriority w:val="9"/>
    <w:semiHidden/>
    <w:unhideWhenUsed/>
    <w:qFormat/>
    <w:rsid w:val="006A26F7"/>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link w:val="a5"/>
    <w:uiPriority w:val="99"/>
    <w:semiHidden/>
    <w:locked/>
    <w:rsid w:val="009C4484"/>
    <w:rPr>
      <w:sz w:val="24"/>
      <w:szCs w:val="24"/>
      <w:lang w:val="x-none" w:eastAsia="x-none"/>
    </w:rPr>
  </w:style>
  <w:style w:type="paragraph" w:styleId="a5">
    <w:name w:val="Normal (Web)"/>
    <w:basedOn w:val="a"/>
    <w:link w:val="a4"/>
    <w:uiPriority w:val="99"/>
    <w:semiHidden/>
    <w:unhideWhenUsed/>
    <w:rsid w:val="009C4484"/>
    <w:pPr>
      <w:spacing w:before="100" w:beforeAutospacing="1" w:after="100" w:afterAutospacing="1"/>
    </w:pPr>
    <w:rPr>
      <w:rFonts w:asciiTheme="minorHAnsi" w:eastAsiaTheme="minorHAnsi" w:hAnsiTheme="minorHAnsi" w:cstheme="minorBidi"/>
      <w:lang w:val="x-none" w:eastAsia="x-none"/>
    </w:rPr>
  </w:style>
  <w:style w:type="character" w:styleId="a6">
    <w:name w:val="Hyperlink"/>
    <w:basedOn w:val="a0"/>
    <w:uiPriority w:val="99"/>
    <w:semiHidden/>
    <w:unhideWhenUsed/>
    <w:rsid w:val="009C4484"/>
    <w:rPr>
      <w:color w:val="0000FF"/>
      <w:u w:val="single"/>
    </w:rPr>
  </w:style>
  <w:style w:type="paragraph" w:styleId="a7">
    <w:name w:val="Balloon Text"/>
    <w:basedOn w:val="a"/>
    <w:link w:val="a8"/>
    <w:uiPriority w:val="99"/>
    <w:semiHidden/>
    <w:unhideWhenUsed/>
    <w:rsid w:val="00250CE5"/>
    <w:rPr>
      <w:rFonts w:ascii="Tahoma" w:hAnsi="Tahoma" w:cs="Tahoma"/>
      <w:sz w:val="16"/>
      <w:szCs w:val="16"/>
    </w:rPr>
  </w:style>
  <w:style w:type="character" w:customStyle="1" w:styleId="a8">
    <w:name w:val="Текст выноски Знак"/>
    <w:basedOn w:val="a0"/>
    <w:link w:val="a7"/>
    <w:uiPriority w:val="99"/>
    <w:semiHidden/>
    <w:rsid w:val="00250C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52FF13E3D31F5DEDE8AA034D6D1EB6FF4AA44E13A03EE5EA64233256E22938FF83F0888C713X0u3E" TargetMode="External"/><Relationship Id="rId13" Type="http://schemas.openxmlformats.org/officeDocument/2006/relationships/hyperlink" Target="consultantplus://offline/ref=37052FF13E3D31F5DEDE8AA034D6D1EB6FF4AA44E13A03EE5EA64233256E22938FF83F088DC4130FX9uBE" TargetMode="External"/><Relationship Id="rId18" Type="http://schemas.openxmlformats.org/officeDocument/2006/relationships/hyperlink" Target="consultantplus://offline/ref=37052FF13E3D31F5DEDE8AA034D6D1EB6FF5AF45E53C03EE5EA6423325X6uEE" TargetMode="External"/><Relationship Id="rId3" Type="http://schemas.openxmlformats.org/officeDocument/2006/relationships/settings" Target="settings.xml"/><Relationship Id="rId7" Type="http://schemas.openxmlformats.org/officeDocument/2006/relationships/hyperlink" Target="consultantplus://offline/ref=37052FF13E3D31F5DEDE8AA034D6D1EB6FF4AA44E13A03EE5EA64233256E22938FF83F088EC613X0uFE" TargetMode="External"/><Relationship Id="rId12" Type="http://schemas.openxmlformats.org/officeDocument/2006/relationships/hyperlink" Target="consultantplus://offline/ref=37052FF13E3D31F5DEDE8AA034D6D1EB6FF4AA44E13A03EE5EA64233256E22938FF83F088CCD1FX0u2E" TargetMode="External"/><Relationship Id="rId17" Type="http://schemas.openxmlformats.org/officeDocument/2006/relationships/hyperlink" Target="consultantplus://offline/ref=37052FF13E3D31F5DEDE8AA034D6D1EB6FF5AF45E53C03EE5EA6423325X6uEE" TargetMode="External"/><Relationship Id="rId2" Type="http://schemas.microsoft.com/office/2007/relationships/stylesWithEffects" Target="stylesWithEffects.xml"/><Relationship Id="rId16" Type="http://schemas.openxmlformats.org/officeDocument/2006/relationships/hyperlink" Target="consultantplus://offline/ref=37052FF13E3D31F5DEDE8AA034D6D1EB6FF4AA44E13A03EE5EA64233256E22938FF83F0888C713X0u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KrylovaVV.ADMBER2010\Desktop\&#1074;%20&#1087;&#1086;&#1084;&#1086;&#1097;&#1100;%20&#1087;&#1088;&#1077;&#1076;&#1087;&#1088;&#1080;&#1085;&#1080;&#1084;&#1072;&#1090;&#1077;&#1083;&#1102;.docx" TargetMode="External"/><Relationship Id="rId11" Type="http://schemas.openxmlformats.org/officeDocument/2006/relationships/hyperlink" Target="consultantplus://offline/ref=37052FF13E3D31F5DEDE8AA034D6D1EB6FF4AA44E13A03EE5EA64233256E22938FF83F088DC61D0AX9u5E" TargetMode="External"/><Relationship Id="rId5" Type="http://schemas.openxmlformats.org/officeDocument/2006/relationships/hyperlink" Target="file:///C:\Users\KrylovaVV.ADMBER2010\Desktop\&#1074;%20&#1087;&#1086;&#1084;&#1086;&#1097;&#1100;%20&#1087;&#1088;&#1077;&#1076;&#1087;&#1088;&#1080;&#1085;&#1080;&#1084;&#1072;&#1090;&#1077;&#1083;&#1102;.docx" TargetMode="External"/><Relationship Id="rId15" Type="http://schemas.openxmlformats.org/officeDocument/2006/relationships/hyperlink" Target="consultantplus://offline/ref=37052FF13E3D31F5DEDE8AA034D6D1EB6FF4AA44E13A03EE5EA64233256E22938FF83F088DC61D09X9u8E" TargetMode="External"/><Relationship Id="rId10" Type="http://schemas.openxmlformats.org/officeDocument/2006/relationships/hyperlink" Target="consultantplus://offline/ref=37052FF13E3D31F5DEDE8AA034D6D1EB6FF4AA44E13A03EE5EA64233256E22938FF83F088EC31FX0u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052FF13E3D31F5DEDE8AA034D6D1EB6FF4AA44E13A03EE5EA64233256E22938FF83F0888C713X0u2E" TargetMode="External"/><Relationship Id="rId14" Type="http://schemas.openxmlformats.org/officeDocument/2006/relationships/hyperlink" Target="consultantplus://offline/ref=37052FF13E3D31F5DEDE8AA034D6D1EB6FF4AA44E13A03EE5EA64233256E22938FF83F088DC4130EX9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3</cp:revision>
  <cp:lastPrinted>2018-04-09T05:05:00Z</cp:lastPrinted>
  <dcterms:created xsi:type="dcterms:W3CDTF">2018-04-09T04:58:00Z</dcterms:created>
  <dcterms:modified xsi:type="dcterms:W3CDTF">2018-04-09T05:05:00Z</dcterms:modified>
</cp:coreProperties>
</file>