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CC31B2" w:rsidRPr="00C14F0E">
        <w:rPr>
          <w:sz w:val="28"/>
          <w:szCs w:val="28"/>
        </w:rPr>
        <w:t xml:space="preserve"> </w:t>
      </w:r>
      <w:r w:rsidR="006616C4">
        <w:rPr>
          <w:sz w:val="28"/>
          <w:szCs w:val="28"/>
        </w:rPr>
        <w:t xml:space="preserve">30 декабря </w:t>
      </w:r>
      <w:r w:rsidR="008A6129" w:rsidRPr="00C14F0E">
        <w:rPr>
          <w:sz w:val="28"/>
          <w:szCs w:val="28"/>
        </w:rPr>
        <w:t>202</w:t>
      </w:r>
      <w:r w:rsidR="006616C4">
        <w:rPr>
          <w:sz w:val="28"/>
          <w:szCs w:val="28"/>
        </w:rPr>
        <w:t>2</w:t>
      </w:r>
      <w:r w:rsidR="009B641B" w:rsidRPr="00C14F0E">
        <w:rPr>
          <w:sz w:val="28"/>
          <w:szCs w:val="28"/>
        </w:rPr>
        <w:t xml:space="preserve"> года</w:t>
      </w:r>
      <w:r w:rsidR="006616C4">
        <w:rPr>
          <w:sz w:val="28"/>
          <w:szCs w:val="28"/>
        </w:rPr>
        <w:t xml:space="preserve"> </w:t>
      </w:r>
      <w:r w:rsidRPr="00C14F0E">
        <w:rPr>
          <w:sz w:val="28"/>
          <w:szCs w:val="28"/>
        </w:rPr>
        <w:t xml:space="preserve">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         </w:t>
      </w:r>
      <w:r w:rsidR="008A6129" w:rsidRPr="00C14F0E">
        <w:rPr>
          <w:sz w:val="28"/>
          <w:szCs w:val="28"/>
        </w:rPr>
        <w:t xml:space="preserve">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  <w:r w:rsidR="006616C4">
        <w:rPr>
          <w:sz w:val="28"/>
          <w:szCs w:val="28"/>
        </w:rPr>
        <w:t>51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C14F0E">
        <w:rPr>
          <w:rFonts w:ascii="Times New Roman" w:hAnsi="Times New Roman"/>
          <w:sz w:val="28"/>
          <w:szCs w:val="28"/>
        </w:rPr>
        <w:t xml:space="preserve">, 154 </w:t>
      </w:r>
      <w:r w:rsidRPr="00C14F0E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Порядок).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 w:rsidRPr="00C14F0E">
        <w:rPr>
          <w:rFonts w:ascii="Times New Roman" w:hAnsi="Times New Roman"/>
          <w:sz w:val="28"/>
          <w:szCs w:val="28"/>
        </w:rPr>
        <w:t>юджета на 202</w:t>
      </w:r>
      <w:r w:rsidR="00A03A00">
        <w:rPr>
          <w:rFonts w:ascii="Times New Roman" w:hAnsi="Times New Roman"/>
          <w:sz w:val="28"/>
          <w:szCs w:val="28"/>
        </w:rPr>
        <w:t>3</w:t>
      </w:r>
      <w:r w:rsidR="00CC31B2" w:rsidRPr="00C14F0E">
        <w:rPr>
          <w:rFonts w:ascii="Times New Roman" w:hAnsi="Times New Roman"/>
          <w:sz w:val="28"/>
          <w:szCs w:val="28"/>
        </w:rPr>
        <w:t xml:space="preserve"> год и </w:t>
      </w:r>
      <w:r w:rsidR="0025137C" w:rsidRPr="00C14F0E">
        <w:rPr>
          <w:rFonts w:ascii="Times New Roman" w:hAnsi="Times New Roman"/>
          <w:sz w:val="28"/>
          <w:szCs w:val="28"/>
        </w:rPr>
        <w:t>плановый период 202</w:t>
      </w:r>
      <w:r w:rsidR="00A03A00">
        <w:rPr>
          <w:rFonts w:ascii="Times New Roman" w:hAnsi="Times New Roman"/>
          <w:sz w:val="28"/>
          <w:szCs w:val="28"/>
        </w:rPr>
        <w:t>4</w:t>
      </w:r>
      <w:r w:rsidRPr="00C14F0E">
        <w:rPr>
          <w:rFonts w:ascii="Times New Roman" w:hAnsi="Times New Roman"/>
          <w:sz w:val="28"/>
          <w:szCs w:val="28"/>
        </w:rPr>
        <w:t xml:space="preserve"> и 202</w:t>
      </w:r>
      <w:r w:rsidR="00A03A00">
        <w:rPr>
          <w:rFonts w:ascii="Times New Roman" w:hAnsi="Times New Roman"/>
          <w:sz w:val="28"/>
          <w:szCs w:val="28"/>
        </w:rPr>
        <w:t>5</w:t>
      </w:r>
      <w:r w:rsidRPr="00C14F0E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725" w:rsidRPr="00C14F0E">
        <w:rPr>
          <w:rFonts w:ascii="Times New Roman" w:hAnsi="Times New Roman"/>
          <w:sz w:val="28"/>
          <w:szCs w:val="28"/>
        </w:rPr>
        <w:t>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725" w:rsidRPr="00C14F0E">
        <w:rPr>
          <w:rFonts w:ascii="Times New Roman" w:hAnsi="Times New Roman"/>
          <w:sz w:val="28"/>
          <w:szCs w:val="28"/>
        </w:rPr>
        <w:t xml:space="preserve">. Контроль за выполнением настоящего приказа возложить на </w:t>
      </w:r>
      <w:r w:rsidR="00E50553" w:rsidRPr="00C14F0E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="00BE2725" w:rsidRPr="00C14F0E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C14F0E" w:rsidRDefault="00A03A00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1E47" w:rsidRPr="00C14F0E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C14F0E">
        <w:rPr>
          <w:rFonts w:ascii="Times New Roman" w:hAnsi="Times New Roman"/>
          <w:sz w:val="28"/>
          <w:szCs w:val="28"/>
        </w:rPr>
        <w:t>с 01 января 202</w:t>
      </w:r>
      <w:r>
        <w:rPr>
          <w:rFonts w:ascii="Times New Roman" w:hAnsi="Times New Roman"/>
          <w:sz w:val="28"/>
          <w:szCs w:val="28"/>
        </w:rPr>
        <w:t>3</w:t>
      </w:r>
      <w:r w:rsidR="00F71E47" w:rsidRPr="00C14F0E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Pr="00C14F0E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Pr="00C14F0E">
        <w:rPr>
          <w:rFonts w:ascii="Times New Roman" w:hAnsi="Times New Roman"/>
          <w:sz w:val="28"/>
          <w:szCs w:val="28"/>
        </w:rPr>
        <w:t xml:space="preserve"> </w:t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Pr="00C14F0E">
        <w:rPr>
          <w:rFonts w:ascii="Times New Roman" w:hAnsi="Times New Roman"/>
          <w:sz w:val="28"/>
          <w:szCs w:val="28"/>
        </w:rPr>
        <w:t xml:space="preserve">  С.В. Ушарова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бюджетного планирования 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сводного анализа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</w:t>
      </w:r>
    </w:p>
    <w:p w:rsidR="001708E5" w:rsidRPr="00C14F0E" w:rsidRDefault="001708E5" w:rsidP="006616C4">
      <w:pPr>
        <w:spacing w:after="0" w:line="240" w:lineRule="auto"/>
        <w:ind w:left="4395" w:firstLine="432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lastRenderedPageBreak/>
        <w:t>П</w:t>
      </w:r>
      <w:r w:rsidR="006616C4">
        <w:rPr>
          <w:rFonts w:ascii="Times New Roman" w:hAnsi="Times New Roman"/>
          <w:sz w:val="28"/>
          <w:szCs w:val="28"/>
        </w:rPr>
        <w:t xml:space="preserve">риложение к приказу Комитета по </w:t>
      </w:r>
      <w:r w:rsidRPr="00C14F0E">
        <w:rPr>
          <w:rFonts w:ascii="Times New Roman" w:hAnsi="Times New Roman"/>
          <w:sz w:val="28"/>
          <w:szCs w:val="28"/>
        </w:rPr>
        <w:t xml:space="preserve">финансам </w:t>
      </w:r>
      <w:r w:rsidR="006616C4">
        <w:rPr>
          <w:rFonts w:ascii="Times New Roman" w:hAnsi="Times New Roman"/>
          <w:sz w:val="28"/>
          <w:szCs w:val="28"/>
        </w:rPr>
        <w:t xml:space="preserve"> </w:t>
      </w:r>
      <w:r w:rsidRPr="00C14F0E">
        <w:rPr>
          <w:rFonts w:ascii="Times New Roman" w:hAnsi="Times New Roman"/>
          <w:sz w:val="28"/>
          <w:szCs w:val="28"/>
        </w:rPr>
        <w:t xml:space="preserve">от </w:t>
      </w:r>
      <w:r w:rsidR="006616C4">
        <w:rPr>
          <w:rFonts w:ascii="Times New Roman" w:hAnsi="Times New Roman"/>
          <w:sz w:val="28"/>
          <w:szCs w:val="28"/>
        </w:rPr>
        <w:t>30</w:t>
      </w:r>
      <w:r w:rsidR="00A03A00">
        <w:rPr>
          <w:rFonts w:ascii="Times New Roman" w:hAnsi="Times New Roman"/>
          <w:sz w:val="28"/>
          <w:szCs w:val="28"/>
        </w:rPr>
        <w:t xml:space="preserve"> </w:t>
      </w:r>
      <w:r w:rsidR="006616C4">
        <w:rPr>
          <w:rFonts w:ascii="Times New Roman" w:hAnsi="Times New Roman"/>
          <w:sz w:val="28"/>
          <w:szCs w:val="28"/>
        </w:rPr>
        <w:t xml:space="preserve">декабря </w:t>
      </w:r>
      <w:r w:rsidRPr="00C14F0E">
        <w:rPr>
          <w:rFonts w:ascii="Times New Roman" w:hAnsi="Times New Roman"/>
          <w:sz w:val="28"/>
          <w:szCs w:val="28"/>
        </w:rPr>
        <w:t>202</w:t>
      </w:r>
      <w:r w:rsidR="006616C4">
        <w:rPr>
          <w:rFonts w:ascii="Times New Roman" w:hAnsi="Times New Roman"/>
          <w:sz w:val="28"/>
          <w:szCs w:val="28"/>
        </w:rPr>
        <w:t>2</w:t>
      </w:r>
      <w:r w:rsidRPr="00C14F0E">
        <w:rPr>
          <w:rFonts w:ascii="Times New Roman" w:hAnsi="Times New Roman"/>
          <w:sz w:val="28"/>
          <w:szCs w:val="28"/>
        </w:rPr>
        <w:t xml:space="preserve"> года </w:t>
      </w:r>
      <w:r w:rsidR="009D6AA4">
        <w:rPr>
          <w:rFonts w:ascii="Times New Roman" w:hAnsi="Times New Roman"/>
          <w:sz w:val="28"/>
          <w:szCs w:val="28"/>
        </w:rPr>
        <w:t>№ 51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9B641B" w:rsidRPr="00C14F0E" w:rsidRDefault="008C753D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C14F0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C14F0E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C14F0E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231AD" w:rsidRPr="00C14F0E" w:rsidRDefault="00C231AD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14F0E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 статей 9, 21, 154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C14F0E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 к муниципальным программам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района, их подпрограммам, основным мероприятиям и (или) непрограммным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 формируются с учетом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</w:t>
      </w:r>
      <w:r w:rsidRPr="00C14F0E">
        <w:rPr>
          <w:rFonts w:ascii="Times New Roman" w:hAnsi="Times New Roman" w:cs="Times New Roman"/>
          <w:sz w:val="28"/>
          <w:szCs w:val="28"/>
        </w:rPr>
        <w:t>бюджетной классификации Российской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Федерации, утвержденных Министерством финансов Российской Федерации.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бюджетов состоит из десяти разрядов и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программы (непрограммного направления деятельности) (1-2 разряды кода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района, непрограммных направлений деятельности муниципальных органов местного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типа структурного элемента (элемента непрограммного направления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деятельности) подпрограммы (детализации непрограммного направления деятельности) (3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разряд кода целевой статьи расходов), предназначенный для кодирования бюджетных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ассигнований по подпрограммам муниципальных программ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района, а также по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расходам, детализирующим непрограммные направления деятельности муниципальных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структурного элемента (основного мероприятия) (4-5 разряды кода целевой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статьи расходов), предназначенный для кодирования бюджетных ассигнований по основным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мероприятиям, региональным проектам, направленным на достижение соответствующих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результатов реализации федеральных проектов, входящих в состав национальных проектов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(программ) в рамках муниципальных программ </w:t>
      </w:r>
      <w:r w:rsidR="00E206DA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р</w:t>
      </w:r>
      <w:r w:rsidRPr="00C14F0E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предназначенный для кодирования бюджетных ассигнований по соответствующему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направлению расходования средств, конкретизирующий (при необходимости) отдельные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Отражение расходов на реализацию региональных проектов осуществляется на уровне</w:t>
      </w:r>
      <w:r w:rsidR="00B167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муниципальных программ </w:t>
      </w:r>
      <w:r w:rsidR="00B1672B" w:rsidRPr="00C14F0E">
        <w:rPr>
          <w:rFonts w:ascii="Times New Roman" w:hAnsi="Times New Roman" w:cs="Times New Roman"/>
          <w:sz w:val="28"/>
          <w:szCs w:val="28"/>
        </w:rPr>
        <w:t>Березов</w:t>
      </w:r>
      <w:r w:rsidRPr="00C14F0E">
        <w:rPr>
          <w:rFonts w:ascii="Times New Roman" w:hAnsi="Times New Roman" w:cs="Times New Roman"/>
          <w:sz w:val="28"/>
          <w:szCs w:val="28"/>
        </w:rPr>
        <w:t>ского района (4-5 разряды).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>Четвертый разряд кода целевой статьи расходов (00 0 Х0 00000), отражающий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расходы на реализацию регионального проекта, отражающий расходы на реализацию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регионального проекта, соответствует буквенному значению соответствующего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83738C" w:rsidRPr="00C14F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определяет цифровое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значение, соответствующее номеру регионального проекта, входящего в состав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национального проекта.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поселений, входящих в состав </w:t>
      </w:r>
      <w:r w:rsidR="00165C2B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по целевым статьям расходов на реализацию региональных проектов, осуществляется на 4-5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разряде кода целевой статьи расходов, наименование и значение которых должны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соответствовать наименованию и значению 4-5 разряда кода целевой статьи расходов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5C2B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 на реализацию региональных проектов.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Целевым статьям расходов бюджетов присваиваются уникальные коды,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сформированные с применением буквенно-цифрового ряда: 0, 1, 2, 3, 4, 5, 6, 7, 8, 9, А, Б, В,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Г, Д, Е, Ж, И, К, Л, М, Н, П, Р, С, Т, У, Ф, Ц, Ч, Ш, Щ, Э, Ю, Я, D, F, G, J, L, N, Q, R, S, U, V,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W, Y, Z.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Коды направлений расходов, содержащих значения:</w:t>
      </w:r>
    </w:p>
    <w:p w:rsidR="001708E5" w:rsidRPr="00C14F0E" w:rsidRDefault="001708E5" w:rsidP="001005B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50000-59990 – используются для отражения расходов бюджета </w:t>
      </w:r>
      <w:r w:rsidR="001442B0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субвенции, иные межбюджетные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трансферты, предоставляемые из </w:t>
      </w:r>
      <w:r w:rsidR="001005B2" w:rsidRPr="00C14F0E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1005B2" w:rsidRPr="00C14F0E" w:rsidRDefault="001005B2" w:rsidP="001005B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Березовского района, в том числе расходы на предоставление межбюджетных трансфертов бюджетам поселений, связанные с реализацией региональных проектов, в целях финансового обеспечения (софинансирования) которых предоставляются межбюджетные трансферты из федерального бюджета;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L0000-L9990 – используются для отражения расходов бюджета </w:t>
      </w:r>
      <w:r w:rsidR="001005B2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проектов), в том числе расходов 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бюджетам поселений, в целях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софинансирования которых из бюджета автономного округа предоставляются субсидии и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иные межбюджетные трансферты, в целях софинансирования которых бюджету автономного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округа предоставляются из федерального бюджета субсидии и иные межбюджетные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трансферты;</w:t>
      </w:r>
    </w:p>
    <w:p w:rsidR="00165C2B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D0000-D9990 – используются для отражения расходов бюджета </w:t>
      </w:r>
      <w:r w:rsidR="003311A8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бюджета автономного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округа, дополнительно выделяемые на реализацию переданных полномочий Российской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Федерации, источником финансового обеспечения которых являются субвенции из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82000-85990 – используются для отражения расходов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субвенции и иные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предоставляемые из бюджета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 xml:space="preserve">S0000-S9990 – используются для отражения расходов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</w:t>
      </w:r>
      <w:r w:rsidRPr="00C14F0E">
        <w:rPr>
          <w:rFonts w:ascii="Times New Roman" w:hAnsi="Times New Roman" w:cs="Times New Roman"/>
          <w:sz w:val="28"/>
          <w:szCs w:val="28"/>
        </w:rPr>
        <w:t>ского района (далее - местный бюджет), в целях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софинансирования которых бюджету </w:t>
      </w:r>
      <w:r w:rsidR="009835B7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 предоставляются субсидии из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бюд</w:t>
      </w:r>
      <w:r w:rsidR="009835B7" w:rsidRPr="00C14F0E">
        <w:rPr>
          <w:rFonts w:ascii="Times New Roman" w:hAnsi="Times New Roman" w:cs="Times New Roman"/>
          <w:sz w:val="28"/>
          <w:szCs w:val="28"/>
        </w:rPr>
        <w:t>жета автономного округа;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89000-89990 – используются для отражения расходов бюджета </w:t>
      </w:r>
      <w:r w:rsidR="00BA7CB6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 предоставление межбюджетных трансфертов бюджетам поселений на реализацию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BA7CB6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962209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C14F0E">
        <w:rPr>
          <w:rFonts w:ascii="Times New Roman" w:hAnsi="Times New Roman" w:cs="Times New Roman"/>
          <w:sz w:val="28"/>
          <w:szCs w:val="28"/>
        </w:rPr>
        <w:t>2</w:t>
      </w:r>
      <w:r w:rsidRPr="00C14F0E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района, их подпрограммами,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основными мероприятиями и (или) непрограммными направлениями деятельности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C14F0E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C14F0E">
        <w:rPr>
          <w:rFonts w:ascii="Times New Roman" w:hAnsi="Times New Roman" w:cs="Times New Roman"/>
          <w:sz w:val="28"/>
          <w:szCs w:val="28"/>
        </w:rPr>
        <w:t>Порядка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 формируются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E6373F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установлен приложением 1 к настоящ</w:t>
      </w:r>
      <w:r w:rsidR="00E6373F" w:rsidRPr="00C14F0E">
        <w:rPr>
          <w:rFonts w:ascii="Times New Roman" w:hAnsi="Times New Roman" w:cs="Times New Roman"/>
          <w:sz w:val="28"/>
          <w:szCs w:val="28"/>
        </w:rPr>
        <w:t>ему Порядку.</w:t>
      </w: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0E3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C14F0E">
        <w:rPr>
          <w:rFonts w:ascii="Times New Roman" w:hAnsi="Times New Roman" w:cs="Times New Roman"/>
          <w:b/>
          <w:sz w:val="28"/>
          <w:szCs w:val="28"/>
        </w:rPr>
        <w:t>Универсальные направления расходов местного бюджета, увязываемые с муниципальными программами Березовского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содержание и обеспечение деятельности (оказание услуг) муниципальных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учреждений.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1708E5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02040 Расходы на обеспечение функций органов местного самоуправления.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обеспечение функции органов местного самоуправления, включая расходы на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оплату труда, с учетом начислений, и социальные выплаты работникам.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02110 Расходы на содержание председателя представительного органа муниципального образования.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Березовского района на содержание председателя представительного органа муниципального образования, включая расходы на оплату труда, с учетом начислений, и социальные выплаты работникам.</w:t>
      </w:r>
    </w:p>
    <w:p w:rsidR="00244AEA" w:rsidRPr="00C14F0E" w:rsidRDefault="00244AEA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02120 Депутаты представительного органа муниципального образования. </w:t>
      </w:r>
    </w:p>
    <w:p w:rsidR="00244AEA" w:rsidRPr="00C14F0E" w:rsidRDefault="00244AEA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C0065A" w:rsidRPr="00C14F0E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A32DBF" w:rsidRPr="00C14F0E">
        <w:rPr>
          <w:rFonts w:ascii="Times New Roman" w:hAnsi="Times New Roman" w:cs="Times New Roman"/>
          <w:sz w:val="28"/>
          <w:szCs w:val="28"/>
        </w:rPr>
        <w:t>на содержание депутатов представительного органа муниципального образования.</w:t>
      </w:r>
    </w:p>
    <w:p w:rsidR="005376BD" w:rsidRPr="00C14F0E" w:rsidRDefault="005376BD" w:rsidP="005376B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02250 </w:t>
      </w:r>
      <w:r w:rsidR="00D85BB6" w:rsidRPr="00C14F0E">
        <w:rPr>
          <w:rFonts w:ascii="Times New Roman" w:hAnsi="Times New Roman" w:cs="Times New Roman"/>
          <w:sz w:val="28"/>
          <w:szCs w:val="28"/>
        </w:rPr>
        <w:t>Р</w:t>
      </w:r>
      <w:r w:rsidRPr="00C14F0E">
        <w:rPr>
          <w:rFonts w:ascii="Times New Roman" w:hAnsi="Times New Roman" w:cs="Times New Roman"/>
          <w:sz w:val="28"/>
          <w:szCs w:val="28"/>
        </w:rPr>
        <w:t>уководител</w:t>
      </w:r>
      <w:r w:rsidR="00D85BB6" w:rsidRPr="00C14F0E">
        <w:rPr>
          <w:rFonts w:ascii="Times New Roman" w:hAnsi="Times New Roman" w:cs="Times New Roman"/>
          <w:sz w:val="28"/>
          <w:szCs w:val="28"/>
        </w:rPr>
        <w:t>ь</w:t>
      </w:r>
      <w:r w:rsidRPr="00C14F0E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и его заместител</w:t>
      </w:r>
      <w:r w:rsidR="00D85BB6" w:rsidRPr="00C14F0E">
        <w:rPr>
          <w:rFonts w:ascii="Times New Roman" w:hAnsi="Times New Roman" w:cs="Times New Roman"/>
          <w:sz w:val="28"/>
          <w:szCs w:val="28"/>
        </w:rPr>
        <w:t>и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5376BD" w:rsidRPr="00C14F0E" w:rsidRDefault="005376BD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руководителя контрольно-счетной палаты муниципального образования и его заместителей, включая расходы на оплату труда, с учетом начислений, и социальные выплаты работникам.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C14F0E">
        <w:rPr>
          <w:rFonts w:ascii="Times New Roman" w:hAnsi="Times New Roman" w:cs="Times New Roman"/>
          <w:sz w:val="28"/>
          <w:szCs w:val="28"/>
        </w:rPr>
        <w:t>расходы</w:t>
      </w:r>
      <w:r w:rsidRPr="00C14F0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="001D04BB" w:rsidRPr="00C14F0E">
        <w:rPr>
          <w:rFonts w:ascii="Times New Roman" w:hAnsi="Times New Roman" w:cs="Times New Roman"/>
          <w:sz w:val="28"/>
          <w:szCs w:val="28"/>
        </w:rPr>
        <w:t>к</w:t>
      </w:r>
      <w:r w:rsidR="004A13DF"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проведение прочих мероприятий, осуществляемых органами местного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24854" w:rsidRPr="00C14F0E" w:rsidRDefault="00924854" w:rsidP="009248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20010 Мероприяти</w:t>
      </w:r>
      <w:r w:rsidR="0044495E" w:rsidRPr="00C14F0E">
        <w:rPr>
          <w:rFonts w:ascii="Times New Roman" w:hAnsi="Times New Roman" w:cs="Times New Roman"/>
          <w:sz w:val="28"/>
          <w:szCs w:val="28"/>
        </w:rPr>
        <w:t>я</w:t>
      </w:r>
      <w:r w:rsidRPr="00C14F0E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детей.</w:t>
      </w:r>
    </w:p>
    <w:p w:rsidR="00924854" w:rsidRPr="00C14F0E" w:rsidRDefault="00924854" w:rsidP="009248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мероприятий по организации отдыха и оздоровления детей.</w:t>
      </w:r>
    </w:p>
    <w:p w:rsidR="00F3522B" w:rsidRPr="00C14F0E" w:rsidRDefault="00F3522B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Default="00F3522B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услуги в области информационных технологий.</w:t>
      </w:r>
    </w:p>
    <w:p w:rsidR="005E7F4E" w:rsidRPr="00E440DC" w:rsidRDefault="005E7F4E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21100 Предоставление субсидии на содержание автомобильных дорог общего пользования местного значения и искусственных сооружений на них</w:t>
      </w:r>
    </w:p>
    <w:p w:rsidR="005E7F4E" w:rsidRPr="00E440DC" w:rsidRDefault="005E7F4E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предоставлению субсидии на содержание автомобильных дорог общего пользования местного значения и искусственных сооружений на них.</w:t>
      </w:r>
    </w:p>
    <w:p w:rsidR="003E10EF" w:rsidRPr="00E440DC" w:rsidRDefault="003E10EF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22010 Обслуживание муниципального долга Березовского района.</w:t>
      </w:r>
    </w:p>
    <w:p w:rsidR="003E10EF" w:rsidRPr="00C14F0E" w:rsidRDefault="003E10EF" w:rsidP="003E10E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обслуживанию муниципального долга Березовского района.</w:t>
      </w:r>
    </w:p>
    <w:p w:rsidR="005F0FF6" w:rsidRPr="00C14F0E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C14F0E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управлению резервным фондом.</w:t>
      </w:r>
    </w:p>
    <w:p w:rsidR="008D41A8" w:rsidRPr="00C14F0E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C14F0E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условно утвержденные расходы бюджета Березовского района.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предоставление субсидий организациям.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61600 Субсидии </w:t>
      </w:r>
      <w:r w:rsidR="008D41A8" w:rsidRPr="00C14F0E">
        <w:rPr>
          <w:rFonts w:ascii="Times New Roman" w:hAnsi="Times New Roman" w:cs="Times New Roman"/>
          <w:sz w:val="28"/>
          <w:szCs w:val="28"/>
        </w:rPr>
        <w:t>бюджетным и автономным организациям, некоммерческим организациям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F2377A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8D41A8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</w:t>
      </w:r>
      <w:r w:rsidR="008D41A8" w:rsidRPr="00C14F0E">
        <w:rPr>
          <w:rFonts w:ascii="Times New Roman" w:hAnsi="Times New Roman" w:cs="Times New Roman"/>
          <w:sz w:val="28"/>
          <w:szCs w:val="28"/>
        </w:rPr>
        <w:t xml:space="preserve">едоставление субсидий социально </w:t>
      </w:r>
      <w:r w:rsidRPr="00C14F0E">
        <w:rPr>
          <w:rFonts w:ascii="Times New Roman" w:hAnsi="Times New Roman" w:cs="Times New Roman"/>
          <w:sz w:val="28"/>
          <w:szCs w:val="28"/>
        </w:rPr>
        <w:t>ориентир</w:t>
      </w:r>
      <w:r w:rsidR="008D41A8" w:rsidRPr="00C14F0E">
        <w:rPr>
          <w:rFonts w:ascii="Times New Roman" w:hAnsi="Times New Roman" w:cs="Times New Roman"/>
          <w:sz w:val="28"/>
          <w:szCs w:val="28"/>
        </w:rPr>
        <w:t>ованным</w:t>
      </w:r>
      <w:r w:rsidRPr="00C14F0E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72100 Пенсии за выслугу лет лицам, замещавшим муниципальные должности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выплату пенсии за выслугу лет лицам, замещавшим муниципальные должности.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72110 Выполнение полномочий Думы Березовского района в сфере наград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E440DC">
        <w:rPr>
          <w:rFonts w:ascii="Times New Roman" w:hAnsi="Times New Roman" w:cs="Times New Roman"/>
          <w:sz w:val="28"/>
          <w:szCs w:val="28"/>
        </w:rPr>
        <w:t xml:space="preserve"> выплату премии Думы Березовского района.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72120 Выполнение полномочий главы Березовского района в сфере наград</w:t>
      </w:r>
    </w:p>
    <w:p w:rsidR="00A03A00" w:rsidRPr="00E440DC" w:rsidRDefault="00A03A00" w:rsidP="00A03A0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E440DC">
        <w:rPr>
          <w:rFonts w:ascii="Times New Roman" w:hAnsi="Times New Roman" w:cs="Times New Roman"/>
          <w:sz w:val="28"/>
          <w:szCs w:val="28"/>
        </w:rPr>
        <w:t xml:space="preserve"> выплату премии главы Березовского района</w:t>
      </w:r>
    </w:p>
    <w:p w:rsidR="0041677C" w:rsidRPr="00C14F0E" w:rsidRDefault="0041677C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86010 Дотации</w:t>
      </w:r>
      <w:r w:rsidRPr="00C14F0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41677C" w:rsidRDefault="0041677C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предоставление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A03A00" w:rsidRPr="00E440DC" w:rsidRDefault="00A03A00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</w:r>
    </w:p>
    <w:p w:rsidR="00A03A00" w:rsidRPr="00E440DC" w:rsidRDefault="00A03A00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соглашениями.</w:t>
      </w:r>
    </w:p>
    <w:p w:rsidR="005E7F4E" w:rsidRPr="00E440DC" w:rsidRDefault="005E7F4E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97000 Резервирование экономии бюджетных ассигнований, образовавшейся по итогам проведения закупок товаров, работ, услуг</w:t>
      </w:r>
    </w:p>
    <w:p w:rsidR="005E7F4E" w:rsidRPr="00E440DC" w:rsidRDefault="005E7F4E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Резервирование экономии бюджетных ассигнований, образовавшейся по итогам проведения закупок товаров, работ, услуг.</w:t>
      </w:r>
    </w:p>
    <w:p w:rsidR="00F2377A" w:rsidRPr="00E440DC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99990 Реализация мероприятий.</w:t>
      </w:r>
    </w:p>
    <w:p w:rsidR="001708E5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E440DC">
        <w:rPr>
          <w:rFonts w:ascii="Times New Roman" w:hAnsi="Times New Roman" w:cs="Times New Roman"/>
          <w:sz w:val="28"/>
          <w:szCs w:val="28"/>
        </w:rPr>
        <w:t>Березовс</w:t>
      </w:r>
      <w:r w:rsidRPr="00E440DC">
        <w:rPr>
          <w:rFonts w:ascii="Times New Roman" w:hAnsi="Times New Roman" w:cs="Times New Roman"/>
          <w:sz w:val="28"/>
          <w:szCs w:val="28"/>
        </w:rPr>
        <w:t>кого</w:t>
      </w:r>
      <w:r w:rsidR="00856338" w:rsidRPr="00E440DC">
        <w:rPr>
          <w:rFonts w:ascii="Times New Roman" w:hAnsi="Times New Roman" w:cs="Times New Roman"/>
          <w:sz w:val="28"/>
          <w:szCs w:val="28"/>
        </w:rPr>
        <w:t xml:space="preserve"> </w:t>
      </w:r>
      <w:r w:rsidRPr="00E440DC">
        <w:rPr>
          <w:rFonts w:ascii="Times New Roman" w:hAnsi="Times New Roman" w:cs="Times New Roman"/>
          <w:sz w:val="28"/>
          <w:szCs w:val="28"/>
        </w:rPr>
        <w:t>района на реализацию мероприятий в рамках муниципальных программ и непрограммных</w:t>
      </w:r>
      <w:r w:rsidR="00856338" w:rsidRPr="00E440DC">
        <w:rPr>
          <w:rFonts w:ascii="Times New Roman" w:hAnsi="Times New Roman" w:cs="Times New Roman"/>
          <w:sz w:val="28"/>
          <w:szCs w:val="28"/>
        </w:rPr>
        <w:t xml:space="preserve"> </w:t>
      </w:r>
      <w:r w:rsidRPr="00E440DC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1708E5" w:rsidRPr="00C14F0E" w:rsidRDefault="001708E5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lastRenderedPageBreak/>
        <w:t>Приложение 1 к Порядку применения перечня и кодов целевых статей расходов бюджета Березовского района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9B641B" w:rsidRPr="00C14F0E" w:rsidRDefault="009B641B"/>
    <w:tbl>
      <w:tblPr>
        <w:tblW w:w="9620" w:type="dxa"/>
        <w:tblInd w:w="-318" w:type="dxa"/>
        <w:tblLook w:val="04A0"/>
      </w:tblPr>
      <w:tblGrid>
        <w:gridCol w:w="580"/>
        <w:gridCol w:w="336"/>
        <w:gridCol w:w="523"/>
        <w:gridCol w:w="870"/>
        <w:gridCol w:w="7311"/>
      </w:tblGrid>
      <w:tr w:rsidR="00E440DC" w:rsidRPr="00E440DC" w:rsidTr="00E440DC">
        <w:trPr>
          <w:trHeight w:val="276"/>
        </w:trPr>
        <w:tc>
          <w:tcPr>
            <w:tcW w:w="2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440DC" w:rsidRPr="00E440DC" w:rsidTr="00E440DC">
        <w:trPr>
          <w:trHeight w:val="276"/>
        </w:trPr>
        <w:tc>
          <w:tcPr>
            <w:tcW w:w="2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0DC" w:rsidRPr="00E440DC" w:rsidTr="00E440D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E440DC" w:rsidRPr="00E440DC" w:rsidTr="00E440DC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E440DC" w:rsidRPr="00E440DC" w:rsidTr="00E440DC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E440DC" w:rsidRPr="00E440DC" w:rsidTr="00E440DC">
        <w:trPr>
          <w:trHeight w:val="2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создание образовательных организаций, организаций для отдыха и оздоровления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E440DC" w:rsidRPr="00E440DC" w:rsidTr="00E440DC">
        <w:trPr>
          <w:trHeight w:val="2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сети спортивных объектов шаговой доступности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растениеводства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животноводства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проведение кадастровых работ 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помещениями отдельных категорий граждан, определенных федеральным законодательством"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децентрализованного электроснабжения автономного округа по социально ориентированным тарифам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"Обеспечения исполнения полномочий Думы Березовского района и Контрольно-счетной палаты Березовского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E440DC" w:rsidRPr="00E440DC" w:rsidTr="00E440DC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E440DC" w:rsidRPr="00E440DC" w:rsidTr="00E440DC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9D6AA4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DC" w:rsidRDefault="00E440DC" w:rsidP="009B641B">
      <w:pPr>
        <w:spacing w:after="0" w:line="240" w:lineRule="auto"/>
      </w:pPr>
      <w:r>
        <w:separator/>
      </w:r>
    </w:p>
  </w:endnote>
  <w:endnote w:type="continuationSeparator" w:id="1">
    <w:p w:rsidR="00E440DC" w:rsidRDefault="00E440D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DC" w:rsidRDefault="00E440DC" w:rsidP="009B641B">
      <w:pPr>
        <w:spacing w:after="0" w:line="240" w:lineRule="auto"/>
      </w:pPr>
      <w:r>
        <w:separator/>
      </w:r>
    </w:p>
  </w:footnote>
  <w:footnote w:type="continuationSeparator" w:id="1">
    <w:p w:rsidR="00E440DC" w:rsidRDefault="00E440DC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B3118"/>
    <w:rsid w:val="001C5285"/>
    <w:rsid w:val="001D04BB"/>
    <w:rsid w:val="001D585F"/>
    <w:rsid w:val="001E5F96"/>
    <w:rsid w:val="00244AEA"/>
    <w:rsid w:val="0025137C"/>
    <w:rsid w:val="00263CCD"/>
    <w:rsid w:val="0026430B"/>
    <w:rsid w:val="002867A1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4F4A90"/>
    <w:rsid w:val="005175C8"/>
    <w:rsid w:val="005376BD"/>
    <w:rsid w:val="00567E12"/>
    <w:rsid w:val="005E7F4E"/>
    <w:rsid w:val="005F0FF6"/>
    <w:rsid w:val="00605F94"/>
    <w:rsid w:val="00634DAF"/>
    <w:rsid w:val="006600FE"/>
    <w:rsid w:val="006616C4"/>
    <w:rsid w:val="00675C38"/>
    <w:rsid w:val="006B2863"/>
    <w:rsid w:val="00707EBB"/>
    <w:rsid w:val="00755F42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C753D"/>
    <w:rsid w:val="008D41A8"/>
    <w:rsid w:val="008E27FE"/>
    <w:rsid w:val="00924854"/>
    <w:rsid w:val="00924B61"/>
    <w:rsid w:val="00934527"/>
    <w:rsid w:val="009434BA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D6AA4"/>
    <w:rsid w:val="009E152C"/>
    <w:rsid w:val="00A03A00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C4658"/>
    <w:rsid w:val="00BE2725"/>
    <w:rsid w:val="00C0065A"/>
    <w:rsid w:val="00C11296"/>
    <w:rsid w:val="00C14F0E"/>
    <w:rsid w:val="00C231AD"/>
    <w:rsid w:val="00C61E13"/>
    <w:rsid w:val="00C775F0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A5540"/>
    <w:rsid w:val="00DB302A"/>
    <w:rsid w:val="00DB41D1"/>
    <w:rsid w:val="00DC7549"/>
    <w:rsid w:val="00DD1B68"/>
    <w:rsid w:val="00DE4491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2377A"/>
    <w:rsid w:val="00F3522B"/>
    <w:rsid w:val="00F438C5"/>
    <w:rsid w:val="00F646D6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4</cp:revision>
  <cp:lastPrinted>2022-02-04T07:32:00Z</cp:lastPrinted>
  <dcterms:created xsi:type="dcterms:W3CDTF">2022-12-29T03:50:00Z</dcterms:created>
  <dcterms:modified xsi:type="dcterms:W3CDTF">2022-12-29T03:58:00Z</dcterms:modified>
</cp:coreProperties>
</file>