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0B" w:rsidRDefault="00DB680B" w:rsidP="00873C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3CE4" w:rsidRDefault="00873CE4" w:rsidP="00873C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-203835</wp:posOffset>
            </wp:positionV>
            <wp:extent cx="728345" cy="739140"/>
            <wp:effectExtent l="0" t="0" r="0" b="0"/>
            <wp:wrapTopAndBottom/>
            <wp:docPr id="2" name="Рисунок 3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873CE4" w:rsidRDefault="00873CE4" w:rsidP="00873CE4">
      <w:pPr>
        <w:tabs>
          <w:tab w:val="left" w:pos="567"/>
        </w:tabs>
        <w:spacing w:after="0" w:line="240" w:lineRule="auto"/>
        <w:jc w:val="center"/>
      </w:pPr>
    </w:p>
    <w:p w:rsidR="00873CE4" w:rsidRDefault="00873CE4" w:rsidP="00873CE4">
      <w:pPr>
        <w:pStyle w:val="3"/>
        <w:rPr>
          <w:sz w:val="20"/>
        </w:rPr>
      </w:pPr>
      <w:r>
        <w:rPr>
          <w:sz w:val="20"/>
        </w:rPr>
        <w:t>ХАНТЫ-МАНСИЙСКОГО АВТОНОМНОГО ОКРУГА-ЮГРЫ</w:t>
      </w:r>
    </w:p>
    <w:p w:rsidR="00873CE4" w:rsidRDefault="00873CE4" w:rsidP="00873CE4">
      <w:pPr>
        <w:spacing w:after="0" w:line="240" w:lineRule="auto"/>
      </w:pPr>
    </w:p>
    <w:p w:rsidR="00873CE4" w:rsidRDefault="00873CE4" w:rsidP="00873CE4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73CE4" w:rsidRDefault="00873CE4" w:rsidP="00873CE4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873CE4" w:rsidRDefault="00873CE4" w:rsidP="00873CE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680B">
        <w:rPr>
          <w:rFonts w:ascii="Times New Roman" w:hAnsi="Times New Roman"/>
          <w:sz w:val="28"/>
          <w:szCs w:val="28"/>
        </w:rPr>
        <w:t>18.05.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DB6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DB680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B680B">
        <w:rPr>
          <w:rFonts w:ascii="Times New Roman" w:hAnsi="Times New Roman"/>
          <w:sz w:val="28"/>
          <w:szCs w:val="28"/>
        </w:rPr>
        <w:t>414</w:t>
      </w:r>
    </w:p>
    <w:p w:rsidR="00873CE4" w:rsidRDefault="00873CE4" w:rsidP="00873CE4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Березово  </w:t>
      </w:r>
    </w:p>
    <w:p w:rsidR="00873CE4" w:rsidRDefault="00873CE4" w:rsidP="00873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CE4" w:rsidRPr="00DB680B" w:rsidRDefault="00873CE4" w:rsidP="00DB680B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</w:t>
      </w:r>
      <w:r w:rsidR="00DB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Березовского района </w:t>
      </w:r>
      <w:r w:rsidRPr="00DB680B">
        <w:rPr>
          <w:rFonts w:ascii="Times New Roman" w:hAnsi="Times New Roman" w:cs="Times New Roman"/>
          <w:sz w:val="28"/>
          <w:szCs w:val="28"/>
        </w:rPr>
        <w:t xml:space="preserve">от 09 ноября </w:t>
      </w:r>
      <w:r w:rsidR="00DB680B">
        <w:rPr>
          <w:rFonts w:ascii="Times New Roman" w:hAnsi="Times New Roman" w:cs="Times New Roman"/>
          <w:sz w:val="28"/>
          <w:szCs w:val="28"/>
        </w:rPr>
        <w:t xml:space="preserve">     </w:t>
      </w:r>
      <w:r w:rsidRPr="00DB680B">
        <w:rPr>
          <w:rFonts w:ascii="Times New Roman" w:hAnsi="Times New Roman" w:cs="Times New Roman"/>
          <w:sz w:val="28"/>
          <w:szCs w:val="28"/>
        </w:rPr>
        <w:t xml:space="preserve">2015 года № 1305 «Об утверждении </w:t>
      </w:r>
      <w:hyperlink r:id="rId9" w:anchor="Par29" w:history="1">
        <w:proofErr w:type="gramStart"/>
        <w:r w:rsidRPr="00DB6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DB68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680B">
        <w:rPr>
          <w:rFonts w:ascii="Times New Roman" w:hAnsi="Times New Roman" w:cs="Times New Roman"/>
          <w:sz w:val="28"/>
          <w:szCs w:val="28"/>
        </w:rPr>
        <w:t xml:space="preserve"> </w:t>
      </w:r>
      <w:r w:rsidRPr="00DB680B">
        <w:rPr>
          <w:rFonts w:ascii="Times New Roman" w:hAnsi="Times New Roman" w:cs="Times New Roman"/>
          <w:sz w:val="28"/>
          <w:szCs w:val="28"/>
        </w:rPr>
        <w:t>формирования муниципального задания</w:t>
      </w:r>
      <w:r w:rsidR="00DB680B">
        <w:rPr>
          <w:rFonts w:ascii="Times New Roman" w:hAnsi="Times New Roman" w:cs="Times New Roman"/>
          <w:sz w:val="28"/>
          <w:szCs w:val="28"/>
        </w:rPr>
        <w:t xml:space="preserve"> </w:t>
      </w:r>
      <w:r w:rsidRPr="00DB680B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DB680B">
        <w:rPr>
          <w:rFonts w:ascii="Times New Roman" w:hAnsi="Times New Roman" w:cs="Times New Roman"/>
          <w:sz w:val="28"/>
          <w:szCs w:val="28"/>
        </w:rPr>
        <w:t xml:space="preserve"> </w:t>
      </w:r>
      <w:r w:rsidRPr="00DB680B">
        <w:rPr>
          <w:rFonts w:ascii="Times New Roman" w:hAnsi="Times New Roman" w:cs="Times New Roman"/>
          <w:sz w:val="28"/>
          <w:szCs w:val="28"/>
        </w:rPr>
        <w:t>в отношении муниципальных учреждений</w:t>
      </w:r>
      <w:r w:rsidR="00DB680B">
        <w:rPr>
          <w:rFonts w:ascii="Times New Roman" w:hAnsi="Times New Roman" w:cs="Times New Roman"/>
          <w:sz w:val="28"/>
          <w:szCs w:val="28"/>
        </w:rPr>
        <w:t xml:space="preserve"> </w:t>
      </w:r>
      <w:r w:rsidRPr="00DB680B">
        <w:rPr>
          <w:rFonts w:ascii="Times New Roman" w:hAnsi="Times New Roman" w:cs="Times New Roman"/>
          <w:sz w:val="28"/>
          <w:szCs w:val="28"/>
        </w:rPr>
        <w:t>и финансовом обеспечении выполнения муниципального задания»</w:t>
      </w:r>
    </w:p>
    <w:p w:rsidR="00873CE4" w:rsidRPr="00DB680B" w:rsidRDefault="00873CE4" w:rsidP="00873CE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73CE4" w:rsidRDefault="00873CE4" w:rsidP="00873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DB680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B6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DB680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B6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69</w:t>
        </w:r>
      </w:hyperlink>
      <w:r w:rsidRPr="00873CE4">
        <w:rPr>
          <w:rFonts w:ascii="Times New Roman" w:hAnsi="Times New Roman" w:cs="Times New Roman"/>
          <w:sz w:val="28"/>
          <w:szCs w:val="28"/>
        </w:rPr>
        <w:t xml:space="preserve">.2, </w:t>
      </w:r>
      <w:r w:rsidRPr="00873C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78.1. Бюджетного кодекса Российской Федерации,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7 статьи 9.2. Федерального закона от 12 января 1996 года № 7-ФЗ «О некоммерческих организациях», частью 5 статьи 4 Федерального закона от 03 ноября 2006 года № 174-ФЗ «Об автономных учреждениях»:</w:t>
      </w:r>
    </w:p>
    <w:p w:rsidR="00873CE4" w:rsidRDefault="00873CE4" w:rsidP="00873CE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09 ноября 2015 года № 1305 «Об </w:t>
      </w:r>
      <w:r w:rsidRPr="00873C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r:id="rId12" w:anchor="Par29" w:history="1">
        <w:proofErr w:type="gramStart"/>
        <w:r w:rsidRPr="0087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</w:t>
        </w:r>
      </w:hyperlink>
      <w:r w:rsidRPr="00873CE4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следующие изменения:</w:t>
      </w:r>
    </w:p>
    <w:p w:rsidR="00873CE4" w:rsidRDefault="00873CE4" w:rsidP="00873CE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873CE4" w:rsidRDefault="00873CE4" w:rsidP="00873CE4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3.2.4. дополнить подпунктом следующего содержания: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«3.2.4.4.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или его части, но не более 5%. Значения допустимых (возможных) отклонений могут быть изменены только при формировании муниципального задания на очередной финансовый год.».</w:t>
      </w:r>
      <w:proofErr w:type="gramEnd"/>
    </w:p>
    <w:p w:rsidR="00873CE4" w:rsidRDefault="00873CE4" w:rsidP="00873CE4">
      <w:pPr>
        <w:pStyle w:val="a8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3.2.5. изложить в следующей редакции: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«3.2.5.Порядок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прекращения.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включает: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контроля, осуществляемого учредителем, главным распорядителем бюджетных средств, за исполнением муниципального задания;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осуществления контроля;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условия, при которых выполнение муниципального задания досрочно прекращается: ликвидация муниципального учреждения, реорганизация муниципального учреждения в форме преобразования, порядок досрочного прекращения муниципального задания.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описываются действия сторон муниципального задания в случае досрочного прекращения его выполнения.</w:t>
      </w:r>
    </w:p>
    <w:p w:rsidR="00873CE4" w:rsidRDefault="00873CE4" w:rsidP="00873C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автономными, бюджетными и казенными учреждениями осуществляется в соответствии с порядком осуществления контроля за деятельностью муниципальных автономных, бюджетных и казенных учреждений, утвержденным муниципальным правовым актом Березовского района.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устанавливается в муниципальном задании, но не реже 1 раза в квартал.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являются: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отчетов (предварительных отчетов) о выполнении муниципального задания;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запросов о предоставлении информации о выполнении мероприятий в рамках муниципального задания;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поступающих жалоб заявителей, опросы заявителей по качеству предоставления муниципальных услуг;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проверок по выполнению муниципального задания.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Информацию о проведенных контрольных мероприятиях и их результатах, не содержащую сведений, составляющих государственную тайну, муниципальное учреждение размещает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</w:t>
      </w:r>
      <w:r w:rsidRPr="00873CE4">
        <w:rPr>
          <w:rFonts w:ascii="Times New Roman" w:hAnsi="Times New Roman" w:cs="Times New Roman"/>
          <w:sz w:val="28"/>
          <w:szCs w:val="28"/>
        </w:rPr>
        <w:t>учреждениях (</w:t>
      </w:r>
      <w:hyperlink r:id="rId13" w:history="1">
        <w:r w:rsidRPr="00873CE4">
          <w:rPr>
            <w:rStyle w:val="a3"/>
            <w:color w:val="auto"/>
            <w:sz w:val="28"/>
            <w:szCs w:val="28"/>
            <w:u w:val="none"/>
          </w:rPr>
          <w:t>www.</w:t>
        </w:r>
        <w:r w:rsidRPr="00873C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bus.gov.ru</w:t>
        </w:r>
        <w:r w:rsidRPr="00873CE4">
          <w:rPr>
            <w:rStyle w:val="a3"/>
            <w:color w:val="auto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3CE4" w:rsidRDefault="00873CE4" w:rsidP="00873CE4">
      <w:pPr>
        <w:pStyle w:val="a8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3.2.6. изложить в следующей редакции:</w:t>
      </w:r>
    </w:p>
    <w:p w:rsidR="00873CE4" w:rsidRDefault="00873CE4" w:rsidP="00873CE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«3.2.6. Требования к отчетности об исполнении муниципального задания.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представляет отчет о выполнении муниципального задания по форме, предусмотренной приложением 2 к настоящему Порядку, в соответствии с утвержденными в муниципальном задании требованиями главному распорядителю средств бюджета района, в ведении которого находится муниципальное учреждение.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выполнении муниципального задания в течение текущего финансового года и годовой отчет представляются в сроки, установленные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задании. Срок предоставления годового отчета не может быть установлен позднее 1 марта финансового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текущего финансового года муниципальное учреждение представляет предварительный отчет о выполнении муниципального задания за соответствующий финансовый год по форме, аналогичной форме отчета о выполнении муниципального задания, предусмотренного приложением 2 к настоящему Порядку, в срок, установленный в муниципальном задании.</w:t>
      </w:r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анализа отчета о выполнении муниципального задания за 9 месяцев текущего финансового года, а также рассмотрения предварительного отчета ГРБС принимает решение об уточнении муниципального задания (в том числе об уменьшении объема финансового обеспечения муниципального задания), в случае если планируемое фактическое исполнение муниципального задания до конца текущего финансового года меньше по объему оказания муниципальных услуг (выполнения работ), чем это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заданием (с учетом допустимых (возможных) отклонений), или не соответствует качеству услуг (работ), определенному в муниципальном задании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3CE4" w:rsidRDefault="00873CE4" w:rsidP="00873CE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пункт 4.29. дополнить абзацем девятым следующего содержания:</w:t>
      </w:r>
    </w:p>
    <w:p w:rsidR="00873CE4" w:rsidRDefault="00873CE4" w:rsidP="00873C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фактическом исполнении муниципального задания в большем объеме, чем это предусмотрено муниципальным заданием, объем субсидии на финансовое обеспечение выполнения муниципального задания не увеличивается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3CE4" w:rsidRDefault="00873CE4" w:rsidP="00873CE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5.4. </w:t>
      </w:r>
      <w:r>
        <w:rPr>
          <w:rFonts w:ascii="Times New Roman" w:hAnsi="Times New Roman" w:cs="Times New Roman"/>
          <w:sz w:val="28"/>
          <w:szCs w:val="28"/>
        </w:rPr>
        <w:t>раздела 5:</w:t>
      </w:r>
    </w:p>
    <w:p w:rsidR="00873CE4" w:rsidRDefault="00873CE4" w:rsidP="00873CE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слов «в размере потребности» дополнить словами «(в том числе при завершении текущего финансового года)».</w:t>
      </w:r>
    </w:p>
    <w:p w:rsidR="00873CE4" w:rsidRDefault="00873CE4" w:rsidP="00873CE4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дополнить абзацем вторым следующего содержания:</w:t>
      </w:r>
    </w:p>
    <w:p w:rsidR="00873CE4" w:rsidRDefault="00873CE4" w:rsidP="00873C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задания за предыдущий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73CE4" w:rsidRDefault="00873CE4" w:rsidP="00873CE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веб-сайте органов местного самоуправления Березовский район.</w:t>
      </w:r>
    </w:p>
    <w:p w:rsidR="00873CE4" w:rsidRDefault="00873CE4" w:rsidP="00873CE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73CE4" w:rsidRDefault="00873CE4" w:rsidP="00873CE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финансам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CE4" w:rsidRDefault="00873CE4" w:rsidP="00873CE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CE4" w:rsidRDefault="001006A3" w:rsidP="00873CE4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73CE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</w:p>
    <w:p w:rsidR="007E13F1" w:rsidRDefault="007E13F1"/>
    <w:sectPr w:rsidR="007E13F1" w:rsidSect="00DB680B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2B" w:rsidRDefault="0042012B" w:rsidP="00DB680B">
      <w:pPr>
        <w:spacing w:after="0" w:line="240" w:lineRule="auto"/>
      </w:pPr>
      <w:r>
        <w:separator/>
      </w:r>
    </w:p>
  </w:endnote>
  <w:endnote w:type="continuationSeparator" w:id="0">
    <w:p w:rsidR="0042012B" w:rsidRDefault="0042012B" w:rsidP="00DB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2B" w:rsidRDefault="0042012B" w:rsidP="00DB680B">
      <w:pPr>
        <w:spacing w:after="0" w:line="240" w:lineRule="auto"/>
      </w:pPr>
      <w:r>
        <w:separator/>
      </w:r>
    </w:p>
  </w:footnote>
  <w:footnote w:type="continuationSeparator" w:id="0">
    <w:p w:rsidR="0042012B" w:rsidRDefault="0042012B" w:rsidP="00DB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473586"/>
      <w:docPartObj>
        <w:docPartGallery w:val="Page Numbers (Top of Page)"/>
        <w:docPartUnique/>
      </w:docPartObj>
    </w:sdtPr>
    <w:sdtContent>
      <w:p w:rsidR="00DB680B" w:rsidRDefault="00DB68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680B" w:rsidRDefault="00DB68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8B7"/>
    <w:multiLevelType w:val="multilevel"/>
    <w:tmpl w:val="5770D51A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CE4"/>
    <w:rsid w:val="000B0A9D"/>
    <w:rsid w:val="001006A3"/>
    <w:rsid w:val="00352E77"/>
    <w:rsid w:val="0042012B"/>
    <w:rsid w:val="00556D93"/>
    <w:rsid w:val="005A7045"/>
    <w:rsid w:val="007E13F1"/>
    <w:rsid w:val="00873CE4"/>
    <w:rsid w:val="00A2457B"/>
    <w:rsid w:val="00D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E4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semiHidden/>
    <w:unhideWhenUsed/>
    <w:qFormat/>
    <w:rsid w:val="00873C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C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3CE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3C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73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73C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3CE4"/>
  </w:style>
  <w:style w:type="paragraph" w:styleId="a8">
    <w:name w:val="No Spacing"/>
    <w:uiPriority w:val="1"/>
    <w:qFormat/>
    <w:rsid w:val="00873CE4"/>
    <w:pPr>
      <w:jc w:val="left"/>
    </w:pPr>
  </w:style>
  <w:style w:type="paragraph" w:styleId="a9">
    <w:name w:val="List Paragraph"/>
    <w:basedOn w:val="a"/>
    <w:uiPriority w:val="34"/>
    <w:qFormat/>
    <w:rsid w:val="00873CE4"/>
    <w:pPr>
      <w:ind w:left="720"/>
      <w:contextualSpacing/>
    </w:pPr>
  </w:style>
  <w:style w:type="paragraph" w:customStyle="1" w:styleId="ConsNormal">
    <w:name w:val="ConsNormal"/>
    <w:rsid w:val="00873CE4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73CE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B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680B"/>
  </w:style>
  <w:style w:type="paragraph" w:styleId="ac">
    <w:name w:val="footer"/>
    <w:basedOn w:val="a"/>
    <w:link w:val="ad"/>
    <w:uiPriority w:val="99"/>
    <w:unhideWhenUsed/>
    <w:rsid w:val="00DB6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680B"/>
  </w:style>
  <w:style w:type="paragraph" w:styleId="ae">
    <w:name w:val="Balloon Text"/>
    <w:basedOn w:val="a"/>
    <w:link w:val="af"/>
    <w:uiPriority w:val="99"/>
    <w:semiHidden/>
    <w:unhideWhenUsed/>
    <w:rsid w:val="00DB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us.gov.ru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83-&#1092;&#1079;\&#1084;&#1091;&#1085;&#1080;&#1094;&#1080;&#1087;&#1072;&#1083;&#1100;&#1085;&#1086;&#1077;%20&#1079;&#1072;&#1076;&#1072;&#1085;&#1080;&#1077;\&#1086;%20&#1074;&#1085;&#1077;&#1089;&#1077;&#1085;&#1080;&#1080;%20&#1074;%20&#8470;1305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F4E79E06C45DD449D7B83C6CEF13D98AACDDCC5D1095BAF44A4C32D4FA8F4FC850006843BDTEr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F4E79E06C45DD449D7B83C6CEF13D98AACDDCC5D1095BAF44A4C32D4FA8F4FC850006843BDTEr5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2.10.1.114\&#1086;&#1073;&#1097;&#1080;&#1077;%20&#1076;&#1086;&#1082;&#1091;&#1084;&#1077;&#1085;&#1090;&#1099;$\&#1052;&#1091;&#1085;&#1080;&#1094;&#1080;&#1087;&#1072;&#1083;&#1100;&#1085;&#1099;&#1077;%20&#1087;&#1088;&#1072;&#1074;&#1086;&#1074;&#1099;&#1077;%20&#1072;&#1082;&#1090;&#1099;%20&#1092;&#1080;&#1085;.&#1086;&#1088;&#1075;&#1072;&#1085;&#1086;&#1074;\83-&#1092;&#1079;\&#1084;&#1091;&#1085;&#1080;&#1094;&#1080;&#1087;&#1072;&#1083;&#1100;&#1085;&#1086;&#1077;%20&#1079;&#1072;&#1076;&#1072;&#1085;&#1080;&#1077;\&#1086;%20&#1074;&#1085;&#1077;&#1089;&#1077;&#1085;&#1080;&#1080;%20&#1074;%20&#8470;1305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2017-05-19T06:50:00Z</cp:lastPrinted>
  <dcterms:created xsi:type="dcterms:W3CDTF">2017-05-18T03:28:00Z</dcterms:created>
  <dcterms:modified xsi:type="dcterms:W3CDTF">2017-05-19T06:50:00Z</dcterms:modified>
</cp:coreProperties>
</file>