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58" w:rsidRPr="00641958" w:rsidRDefault="00641958" w:rsidP="0064195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95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5C04C0" wp14:editId="1B2F16AA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58" w:rsidRPr="00641958" w:rsidRDefault="00641958" w:rsidP="0064195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9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41958" w:rsidRPr="00641958" w:rsidRDefault="00641958" w:rsidP="0064195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1958" w:rsidRPr="00641958" w:rsidRDefault="00641958" w:rsidP="0064195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19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41958" w:rsidRPr="00641958" w:rsidRDefault="00641958" w:rsidP="0064195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958" w:rsidRPr="00641958" w:rsidRDefault="00641958" w:rsidP="0064195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41958" w:rsidRPr="00641958" w:rsidRDefault="00641958" w:rsidP="00641958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58" w:rsidRPr="00641958" w:rsidRDefault="00641958" w:rsidP="0064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6A62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    </w:t>
      </w:r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A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6A62">
        <w:rPr>
          <w:rFonts w:ascii="Times New Roman" w:eastAsia="Times New Roman" w:hAnsi="Times New Roman" w:cs="Times New Roman"/>
          <w:sz w:val="28"/>
          <w:szCs w:val="28"/>
          <w:lang w:eastAsia="ru-RU"/>
        </w:rPr>
        <w:t>1151</w:t>
      </w:r>
    </w:p>
    <w:p w:rsidR="00641958" w:rsidRPr="00641958" w:rsidRDefault="00641958" w:rsidP="00641958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958">
        <w:rPr>
          <w:rFonts w:ascii="Times New Roman" w:hAnsi="Times New Roman" w:cs="Times New Roman"/>
          <w:sz w:val="28"/>
          <w:szCs w:val="28"/>
          <w:lang w:eastAsia="ru-RU"/>
        </w:rPr>
        <w:t>О внесении</w:t>
      </w:r>
      <w:r w:rsidR="00A86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приложение</w:t>
      </w:r>
    </w:p>
    <w:p w:rsid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 </w:t>
      </w:r>
      <w:r w:rsidR="00A86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958">
        <w:rPr>
          <w:rFonts w:ascii="Times New Roman" w:hAnsi="Times New Roman" w:cs="Times New Roman"/>
          <w:sz w:val="28"/>
          <w:szCs w:val="28"/>
          <w:lang w:eastAsia="ru-RU"/>
        </w:rPr>
        <w:t>Березовского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A86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</w:p>
    <w:p w:rsid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958">
        <w:rPr>
          <w:rFonts w:ascii="Times New Roman" w:hAnsi="Times New Roman" w:cs="Times New Roman"/>
          <w:sz w:val="28"/>
          <w:szCs w:val="28"/>
          <w:lang w:eastAsia="ru-RU"/>
        </w:rPr>
        <w:t>2013</w:t>
      </w:r>
      <w:r w:rsidR="00A86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>года № 1873</w:t>
      </w:r>
      <w:r w:rsidR="00A86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Pr="0064195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</w:p>
    <w:p w:rsid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95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 туризма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 Березов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ском     районе </w:t>
      </w:r>
    </w:p>
    <w:p w:rsidR="00641958" w:rsidRP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958">
        <w:rPr>
          <w:rFonts w:ascii="Times New Roman" w:hAnsi="Times New Roman" w:cs="Times New Roman"/>
          <w:sz w:val="28"/>
          <w:szCs w:val="28"/>
          <w:lang w:eastAsia="ru-RU"/>
        </w:rPr>
        <w:t xml:space="preserve">на 2016 – 2020 годы»  </w:t>
      </w:r>
    </w:p>
    <w:p w:rsidR="00641958" w:rsidRPr="00641958" w:rsidRDefault="00641958" w:rsidP="00641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1958" w:rsidRPr="00433E0D" w:rsidRDefault="00641958" w:rsidP="00641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E0D">
        <w:rPr>
          <w:rFonts w:ascii="Times New Roman" w:eastAsia="Calibri" w:hAnsi="Times New Roman" w:cs="Times New Roman"/>
          <w:sz w:val="28"/>
          <w:szCs w:val="28"/>
        </w:rPr>
        <w:t>В целях  уточнения объемов финансирования  мероприятий муниципальной программы «Развитие культуры и туризма в Березовском районе на   2016 – 2020 годы»  согласно  решению Думы Березовского  района от   21 декабря  2016  года № 44  «О бюджете Березовского района на 2017 год и на плановый    период   2018  и  2019 годов»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33E0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41958" w:rsidRPr="00433E0D" w:rsidRDefault="00641958" w:rsidP="00641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33E0D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«О муниципальной программе «Развитие культуры и туризма в Березовском районе на 2016-2020 годы» следующие изменения:</w:t>
      </w:r>
    </w:p>
    <w:p w:rsidR="00641958" w:rsidRPr="00433E0D" w:rsidRDefault="00641958" w:rsidP="00641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</w:t>
      </w:r>
      <w:r w:rsidRPr="00433E0D">
        <w:rPr>
          <w:rFonts w:ascii="Times New Roman" w:eastAsia="Calibri" w:hAnsi="Times New Roman" w:cs="Times New Roman"/>
          <w:sz w:val="28"/>
          <w:szCs w:val="28"/>
        </w:rPr>
        <w:t xml:space="preserve"> паспорте  муниципальной программы:</w:t>
      </w:r>
    </w:p>
    <w:p w:rsidR="00641958" w:rsidRDefault="00641958" w:rsidP="00641958">
      <w:pPr>
        <w:pStyle w:val="a6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9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62950">
        <w:rPr>
          <w:rFonts w:ascii="Times New Roman" w:eastAsia="Calibri" w:hAnsi="Times New Roman" w:cs="Times New Roman"/>
          <w:sz w:val="28"/>
          <w:szCs w:val="28"/>
        </w:rPr>
        <w:t xml:space="preserve"> строке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62950">
        <w:rPr>
          <w:rFonts w:ascii="Times New Roman" w:eastAsia="Calibri" w:hAnsi="Times New Roman" w:cs="Times New Roman"/>
          <w:sz w:val="28"/>
          <w:szCs w:val="28"/>
        </w:rPr>
        <w:t>«</w:t>
      </w:r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  числе  </w:t>
      </w:r>
      <w:proofErr w:type="gramStart"/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</w:p>
    <w:p w:rsidR="00641958" w:rsidRPr="00362950" w:rsidRDefault="00641958" w:rsidP="00641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распределением средств по источникам финансирования, по годам реализации муниципальной программы» цифры «1 201 809,3», «1 142 688,4», «234 555,1» заменить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  цифрами «1 227 596,2», «1 168 475, 3», «260 342,0».</w:t>
      </w:r>
    </w:p>
    <w:p w:rsidR="00641958" w:rsidRDefault="00641958" w:rsidP="00641958">
      <w:pPr>
        <w:pStyle w:val="a6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27 строки «Целевые показатели  муниципальной  программы</w:t>
      </w:r>
    </w:p>
    <w:p w:rsidR="00641958" w:rsidRPr="00362950" w:rsidRDefault="00641958" w:rsidP="00641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(показатели социально-экономической эффективности)  после слов «культурно-досуговыми учреждениями» дополнить словами «городского поселения Березово».</w:t>
      </w:r>
    </w:p>
    <w:p w:rsidR="00641958" w:rsidRP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E0D">
        <w:rPr>
          <w:rFonts w:ascii="Calibri" w:hAnsi="Calibri"/>
        </w:rPr>
        <w:tab/>
      </w:r>
      <w:r w:rsidRPr="00641958">
        <w:rPr>
          <w:rFonts w:ascii="Times New Roman" w:hAnsi="Times New Roman" w:cs="Times New Roman"/>
          <w:sz w:val="28"/>
          <w:szCs w:val="28"/>
        </w:rPr>
        <w:t xml:space="preserve">1.2. пункт  27   раздела  2. дополнить словами «городского поселения Березово».  </w:t>
      </w:r>
    </w:p>
    <w:p w:rsidR="00641958" w:rsidRPr="00641958" w:rsidRDefault="00641958" w:rsidP="006419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958">
        <w:rPr>
          <w:rFonts w:ascii="Times New Roman" w:hAnsi="Times New Roman" w:cs="Times New Roman"/>
          <w:sz w:val="28"/>
          <w:szCs w:val="28"/>
        </w:rPr>
        <w:tab/>
        <w:t>1.3. пункт  27  приложения 1 к муниципальной программе «Целевые показатели и (или) индикаторы муниципальной программы» после слов «культурно-досуговыми учреждениями» дополнить словами «городского поселения Березово».</w:t>
      </w:r>
    </w:p>
    <w:p w:rsidR="00641958" w:rsidRPr="00433E0D" w:rsidRDefault="00641958" w:rsidP="00641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E0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33E0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433E0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2 к муниципальной программе «Развитие культуры и туризма в Березовском районе на 2016-2020 годы» изложить в следующей  редакции согласно приложению к настоящему постановлению.</w:t>
      </w:r>
    </w:p>
    <w:p w:rsidR="00641958" w:rsidRPr="00433E0D" w:rsidRDefault="00641958" w:rsidP="00641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33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433E0D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433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веб-</w:t>
      </w:r>
      <w:r w:rsidRPr="00433E0D">
        <w:rPr>
          <w:rFonts w:ascii="Times New Roman" w:eastAsia="Calibri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Pr="00433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езовского района</w:t>
      </w:r>
      <w:r w:rsidRPr="00433E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1958" w:rsidRPr="00433E0D" w:rsidRDefault="00641958" w:rsidP="00641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33E0D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 постановление вступает в  силу после его официального опубликования.</w:t>
      </w:r>
    </w:p>
    <w:p w:rsidR="00641958" w:rsidRPr="00641958" w:rsidRDefault="00641958" w:rsidP="00641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58" w:rsidRPr="00641958" w:rsidRDefault="00641958" w:rsidP="00641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58" w:rsidRPr="00641958" w:rsidRDefault="00641958" w:rsidP="0064195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58"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                                                В.И. Фомин</w:t>
      </w:r>
    </w:p>
    <w:p w:rsidR="00641958" w:rsidRPr="00641958" w:rsidRDefault="00641958" w:rsidP="00641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58" w:rsidRPr="00641958" w:rsidRDefault="00641958" w:rsidP="00641958">
      <w:pPr>
        <w:spacing w:line="254" w:lineRule="auto"/>
        <w:rPr>
          <w:rFonts w:ascii="Calibri" w:eastAsia="Calibri" w:hAnsi="Calibri" w:cs="Times New Roman"/>
        </w:rPr>
      </w:pPr>
    </w:p>
    <w:p w:rsidR="00641958" w:rsidRPr="00641958" w:rsidRDefault="00641958" w:rsidP="00641958">
      <w:pPr>
        <w:spacing w:line="256" w:lineRule="auto"/>
        <w:rPr>
          <w:rFonts w:ascii="Calibri" w:eastAsia="Calibri" w:hAnsi="Calibri" w:cs="Times New Roman"/>
        </w:rPr>
      </w:pPr>
    </w:p>
    <w:p w:rsidR="00641958" w:rsidRDefault="00641958" w:rsidP="00433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1958" w:rsidRDefault="00641958" w:rsidP="00433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1958" w:rsidRDefault="00641958" w:rsidP="00433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1958" w:rsidRDefault="00641958" w:rsidP="00433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472CB" w:rsidRPr="00F93E1A" w:rsidRDefault="00E472CB" w:rsidP="00F93E1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E472CB" w:rsidRPr="00F93E1A" w:rsidSect="00641958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472CB" w:rsidRPr="00E472CB" w:rsidRDefault="00131535" w:rsidP="00E472C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E472CB" w:rsidRPr="00E4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72CB" w:rsidRDefault="00E472CB" w:rsidP="00131535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 Березовского района</w:t>
      </w:r>
    </w:p>
    <w:p w:rsidR="00131535" w:rsidRPr="00E472CB" w:rsidRDefault="00131535" w:rsidP="00131535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A86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 №</w:t>
      </w:r>
      <w:r w:rsidR="00A86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1151</w:t>
      </w:r>
      <w:bookmarkStart w:id="0" w:name="_GoBack"/>
      <w:bookmarkEnd w:id="0"/>
    </w:p>
    <w:p w:rsidR="00E472CB" w:rsidRPr="00E472CB" w:rsidRDefault="00E472CB" w:rsidP="00E472CB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2CB" w:rsidRPr="00E472CB" w:rsidRDefault="00E472CB" w:rsidP="00E472C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E472CB" w:rsidRPr="00E472CB" w:rsidRDefault="00E472CB" w:rsidP="00E472CB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34" w:type="dxa"/>
        <w:jc w:val="center"/>
        <w:tblInd w:w="-87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994"/>
        <w:gridCol w:w="2217"/>
        <w:gridCol w:w="2059"/>
        <w:gridCol w:w="1559"/>
        <w:gridCol w:w="1134"/>
        <w:gridCol w:w="1134"/>
        <w:gridCol w:w="1276"/>
        <w:gridCol w:w="1134"/>
        <w:gridCol w:w="1059"/>
      </w:tblGrid>
      <w:tr w:rsidR="00E472CB" w:rsidRPr="00E472CB" w:rsidTr="00E56A98">
        <w:trPr>
          <w:cantSplit/>
          <w:trHeight w:val="48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E472CB" w:rsidRPr="00E472CB" w:rsidTr="00E56A98">
        <w:trPr>
          <w:cantSplit/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472CB" w:rsidRPr="00E472CB" w:rsidTr="00E56A98">
        <w:trPr>
          <w:cantSplit/>
          <w:trHeight w:val="195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E472CB" w:rsidRPr="00E472CB" w:rsidTr="00E56A98">
        <w:trPr>
          <w:trHeight w:val="212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Реализация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общества, а также развитие туризма для приобщения граждан к культурному и природному наследию</w:t>
            </w:r>
          </w:p>
        </w:tc>
      </w:tr>
      <w:tr w:rsidR="00E472CB" w:rsidRPr="00E472CB" w:rsidTr="00E56A98">
        <w:trPr>
          <w:trHeight w:val="322"/>
          <w:jc w:val="center"/>
        </w:trPr>
        <w:tc>
          <w:tcPr>
            <w:tcW w:w="153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Повышение качества культурных услуг, предоставляемых в области библиотечного, музейного и архивного дела</w:t>
            </w:r>
          </w:p>
        </w:tc>
      </w:tr>
      <w:tr w:rsidR="00E472CB" w:rsidRPr="00E472CB" w:rsidTr="00E56A98">
        <w:trPr>
          <w:trHeight w:val="398"/>
          <w:jc w:val="center"/>
        </w:trPr>
        <w:tc>
          <w:tcPr>
            <w:tcW w:w="153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прав граждан на доступ к культурным ценностям и информации</w:t>
            </w:r>
          </w:p>
        </w:tc>
      </w:tr>
      <w:tr w:rsidR="00E472CB" w:rsidRPr="00E472CB" w:rsidTr="00E56A98">
        <w:trPr>
          <w:trHeight w:val="12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(1, 2, 9)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спорту, городские (сельские) поселения (по согласованию)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18 257,2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19 349,3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</w:tr>
      <w:tr w:rsidR="00E472CB" w:rsidRPr="00E472CB" w:rsidTr="00E56A98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16 702,6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18 390,0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</w:tr>
      <w:tr w:rsidR="00E472CB" w:rsidRPr="00E472CB" w:rsidTr="00E56A98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(3, 4, 5, 6, 7, 8, 9)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17 995,9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19 147,2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17 575,9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18 823,0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архивного дела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(10, 18)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2 008,3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2 008,3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195 694,1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36 679,0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38 892,1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38 065,6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38 065,6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36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2 243,9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1 629,4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188292,9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34 278,5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37 213,0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37 670,0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37 670,0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Охрана и сохранение культурного наследия Березовского района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Сохранение и популяризация объектов культурного наследия (памятников истории культуры) народов Российской Федерации расположенных на территории Березовского района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ремонта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10 526,3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24 649,2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12 134,0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802,1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27 273,10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12 936,1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0F59E9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3 810,70</w:t>
            </w:r>
            <w:r w:rsidR="00E472CB"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10 526,3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0F59E9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24 649,2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12 134,0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0F59E9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802,1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0F59E9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526,3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3.Кинообслуживание населения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Предоставление муниципальных услуг в области кинематографии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области кинематографии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2 984 ,1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городских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2 984 ,1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68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Укрепление единого культурного пространства</w:t>
            </w:r>
          </w:p>
        </w:tc>
      </w:tr>
      <w:tr w:rsidR="00E472CB" w:rsidRPr="00E472CB" w:rsidTr="00E56A98">
        <w:trPr>
          <w:trHeight w:val="257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Поддержка  творческой деятельности и дополнительного образования в сфере культуры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в сфере культуры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(11, 14)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428 740,7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82 322,2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83 234,1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85 377,2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85 377,2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5 508,9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76 763,3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79 476,9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81 620,0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81 620,0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народного творчества и традиционной культуры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(9, 12, 13)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50 224,1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58 844,0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1 912,5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48 311,6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58 844,0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гражданско-патриотического воспитания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730 558,7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132 546,3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162 039,9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142 078,1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146 947,2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146 947,2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125 074,9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138 320,9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143 190,0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143 190,0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194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5. Развитие внутреннего и въездного туризма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Создание условий для устойчивого развития внутреннего и въездного туризма, расширения спектра туристских услуг для жителей Березовского района, российских и иностранных граждан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 в виде грантов для поддержки проектов и программ в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внутреннего и въездного туризма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труду, социальной и молодежной политике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реализация и участие в мероприятиях, направленных на развитие внутреннего и въездного туризма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(16, 20, 21)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6. Совершенствование системы управления в культуре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Организационное и информационное обеспечение реализации муниципальной культурной политики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исполнительных органов  муниципальной  власти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Березовского района  по реализации единой  муниципальной политики в культуре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социальной направленности культурной политики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(22, 24,25)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6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7. Развитие отраслевой инфраструктуры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7. Создание безопасных и благоприятных условий нахождения граждан в учреждениях культуры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ремонта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5 690,3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7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5 690,3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 8. Обеспечение деятельности подведомственных учреждений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8. Обеспечение хозяйственного обслуживания и надлежащего состояния учреждений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и надлежащего состояния учреждения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8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9. Обеспечение реализации переданных полномочий городского поселения Березово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 9.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решению вопросов местного значения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культурных мероприятий в области сохранения и развития культурного наследия народов, проживающих на территории поселения</w:t>
            </w: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городских (сельских) </w:t>
            </w:r>
            <w:r w:rsidRP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9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3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1 227 596,2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237 524,3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269 929,8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243 966,5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238 087,8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238 087,8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58 825,0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15 386,6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4 152,8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4 152,8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1 168 475,3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211 733,1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228 530,2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233 935,0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233 935,0  </w:t>
            </w:r>
          </w:p>
        </w:tc>
      </w:tr>
      <w:tr w:rsidR="00E472CB" w:rsidRPr="00E472CB" w:rsidTr="00E56A98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CB" w:rsidRPr="00E472CB" w:rsidRDefault="00E472CB" w:rsidP="00E472C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E472CB" w:rsidRPr="00E472CB" w:rsidRDefault="00E472CB" w:rsidP="00E472CB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bookmarkStart w:id="1" w:name="OLE_LINK1"/>
      <w:bookmarkEnd w:id="1"/>
    </w:p>
    <w:p w:rsidR="00E472CB" w:rsidRPr="00CD0C5D" w:rsidRDefault="00E472CB" w:rsidP="00E472CB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sectPr w:rsidR="00E472CB" w:rsidRPr="00CD0C5D" w:rsidSect="00030EF8">
      <w:pgSz w:w="16838" w:h="11906" w:orient="landscape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8" w:rsidRDefault="005E04D8" w:rsidP="00E56A98">
      <w:pPr>
        <w:spacing w:after="0" w:line="240" w:lineRule="auto"/>
      </w:pPr>
      <w:r>
        <w:separator/>
      </w:r>
    </w:p>
  </w:endnote>
  <w:endnote w:type="continuationSeparator" w:id="0">
    <w:p w:rsidR="005E04D8" w:rsidRDefault="005E04D8" w:rsidP="00E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8" w:rsidRDefault="005E04D8" w:rsidP="00E56A98">
      <w:pPr>
        <w:spacing w:after="0" w:line="240" w:lineRule="auto"/>
      </w:pPr>
      <w:r>
        <w:separator/>
      </w:r>
    </w:p>
  </w:footnote>
  <w:footnote w:type="continuationSeparator" w:id="0">
    <w:p w:rsidR="005E04D8" w:rsidRDefault="005E04D8" w:rsidP="00E5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751972"/>
      <w:docPartObj>
        <w:docPartGallery w:val="Page Numbers (Top of Page)"/>
        <w:docPartUnique/>
      </w:docPartObj>
    </w:sdtPr>
    <w:sdtEndPr/>
    <w:sdtContent>
      <w:p w:rsidR="00131535" w:rsidRDefault="0013153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62" w:rsidRPr="00A86A62">
          <w:rPr>
            <w:noProof/>
            <w:lang w:val="ru-RU"/>
          </w:rPr>
          <w:t>11</w:t>
        </w:r>
        <w:r>
          <w:fldChar w:fldCharType="end"/>
        </w:r>
      </w:p>
    </w:sdtContent>
  </w:sdt>
  <w:p w:rsidR="00131535" w:rsidRDefault="001315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780"/>
    <w:multiLevelType w:val="multilevel"/>
    <w:tmpl w:val="A66C1C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8FF"/>
    <w:multiLevelType w:val="multilevel"/>
    <w:tmpl w:val="67546A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07C121DE"/>
    <w:multiLevelType w:val="multilevel"/>
    <w:tmpl w:val="D338A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3529DA"/>
    <w:multiLevelType w:val="multilevel"/>
    <w:tmpl w:val="AAFC0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DB756B"/>
    <w:multiLevelType w:val="multilevel"/>
    <w:tmpl w:val="BDCE10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2810844"/>
    <w:multiLevelType w:val="hybridMultilevel"/>
    <w:tmpl w:val="16D2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E04"/>
    <w:multiLevelType w:val="hybridMultilevel"/>
    <w:tmpl w:val="196ED7B6"/>
    <w:lvl w:ilvl="0" w:tplc="EA36D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2598F"/>
    <w:multiLevelType w:val="multilevel"/>
    <w:tmpl w:val="FD0A3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F57D2"/>
    <w:multiLevelType w:val="multilevel"/>
    <w:tmpl w:val="B5923B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B60C61"/>
    <w:multiLevelType w:val="multilevel"/>
    <w:tmpl w:val="46B29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510E0D"/>
    <w:multiLevelType w:val="multilevel"/>
    <w:tmpl w:val="67546A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54870AFD"/>
    <w:multiLevelType w:val="hybridMultilevel"/>
    <w:tmpl w:val="3806C730"/>
    <w:lvl w:ilvl="0" w:tplc="90EC4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E46BA">
      <w:start w:val="1"/>
      <w:numFmt w:val="decimal"/>
      <w:lvlText w:val="%2)"/>
      <w:lvlJc w:val="left"/>
      <w:pPr>
        <w:ind w:left="2190" w:hanging="111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011F0"/>
    <w:multiLevelType w:val="multilevel"/>
    <w:tmpl w:val="8F74E9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13"/>
  </w:num>
  <w:num w:numId="8">
    <w:abstractNumId w:val="9"/>
  </w:num>
  <w:num w:numId="9">
    <w:abstractNumId w:val="18"/>
  </w:num>
  <w:num w:numId="10">
    <w:abstractNumId w:val="5"/>
  </w:num>
  <w:num w:numId="11">
    <w:abstractNumId w:val="15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91"/>
    <w:rsid w:val="00030EF8"/>
    <w:rsid w:val="0007208A"/>
    <w:rsid w:val="000F59E9"/>
    <w:rsid w:val="00131535"/>
    <w:rsid w:val="0019256A"/>
    <w:rsid w:val="00247EC2"/>
    <w:rsid w:val="00335615"/>
    <w:rsid w:val="00362950"/>
    <w:rsid w:val="00433E0D"/>
    <w:rsid w:val="004E1E2C"/>
    <w:rsid w:val="00525AFF"/>
    <w:rsid w:val="0054388D"/>
    <w:rsid w:val="005E04D8"/>
    <w:rsid w:val="00625630"/>
    <w:rsid w:val="00641958"/>
    <w:rsid w:val="006725EC"/>
    <w:rsid w:val="007726B9"/>
    <w:rsid w:val="00926F1D"/>
    <w:rsid w:val="009B34DE"/>
    <w:rsid w:val="009B69EE"/>
    <w:rsid w:val="00A86A62"/>
    <w:rsid w:val="00AB2C63"/>
    <w:rsid w:val="00B621F4"/>
    <w:rsid w:val="00C04FB2"/>
    <w:rsid w:val="00C311CE"/>
    <w:rsid w:val="00C8528B"/>
    <w:rsid w:val="00CD0C5D"/>
    <w:rsid w:val="00D0131D"/>
    <w:rsid w:val="00D12926"/>
    <w:rsid w:val="00E44691"/>
    <w:rsid w:val="00E472CB"/>
    <w:rsid w:val="00E56A98"/>
    <w:rsid w:val="00F34F7C"/>
    <w:rsid w:val="00F63AA8"/>
    <w:rsid w:val="00F93E1A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2"/>
  </w:style>
  <w:style w:type="paragraph" w:styleId="1">
    <w:name w:val="heading 1"/>
    <w:basedOn w:val="a"/>
    <w:next w:val="a"/>
    <w:link w:val="10"/>
    <w:uiPriority w:val="9"/>
    <w:qFormat/>
    <w:rsid w:val="00E472C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2CB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B2C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852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69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2CB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2CB"/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E472CB"/>
  </w:style>
  <w:style w:type="paragraph" w:customStyle="1" w:styleId="ConsPlusNonformat">
    <w:name w:val="ConsPlusNonformat"/>
    <w:uiPriority w:val="99"/>
    <w:rsid w:val="00E4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E472CB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72CB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E472CB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E472CB"/>
    <w:pPr>
      <w:spacing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E472C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just">
    <w:name w:val="just"/>
    <w:basedOn w:val="a"/>
    <w:rsid w:val="00E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7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472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Без интервала Знак"/>
    <w:link w:val="a4"/>
    <w:uiPriority w:val="1"/>
    <w:locked/>
    <w:rsid w:val="00E472CB"/>
  </w:style>
  <w:style w:type="paragraph" w:customStyle="1" w:styleId="ConsPlusNormal">
    <w:name w:val="ConsPlusNormal"/>
    <w:uiPriority w:val="99"/>
    <w:rsid w:val="00E472C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E472C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E4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472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472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472CB"/>
  </w:style>
  <w:style w:type="paragraph" w:styleId="af0">
    <w:name w:val="Balloon Text"/>
    <w:basedOn w:val="a"/>
    <w:link w:val="af1"/>
    <w:uiPriority w:val="99"/>
    <w:semiHidden/>
    <w:unhideWhenUsed/>
    <w:rsid w:val="00E472C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72C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2">
    <w:name w:val="FollowedHyperlink"/>
    <w:uiPriority w:val="99"/>
    <w:semiHidden/>
    <w:unhideWhenUsed/>
    <w:rsid w:val="00E472CB"/>
    <w:rPr>
      <w:color w:val="800080"/>
      <w:u w:val="single"/>
    </w:rPr>
  </w:style>
  <w:style w:type="paragraph" w:customStyle="1" w:styleId="xl65">
    <w:name w:val="xl65"/>
    <w:basedOn w:val="a"/>
    <w:rsid w:val="00E472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72C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72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72C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472C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472C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472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472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472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472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472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472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472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472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472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72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472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472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472C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472C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472C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472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472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472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1">
    <w:name w:val="xl101"/>
    <w:basedOn w:val="a"/>
    <w:rsid w:val="00E472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2">
    <w:name w:val="xl102"/>
    <w:basedOn w:val="a"/>
    <w:rsid w:val="00E472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111">
    <w:name w:val="Сетка таблицы11"/>
    <w:basedOn w:val="a1"/>
    <w:uiPriority w:val="59"/>
    <w:rsid w:val="00433E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32AE-D2CB-49FC-9177-179F0BC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2017-12-08T12:18:00Z</cp:lastPrinted>
  <dcterms:created xsi:type="dcterms:W3CDTF">2017-11-16T09:22:00Z</dcterms:created>
  <dcterms:modified xsi:type="dcterms:W3CDTF">2017-12-27T10:20:00Z</dcterms:modified>
</cp:coreProperties>
</file>