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68" w:rsidRDefault="00901768">
      <w:pPr>
        <w:pStyle w:val="ConsPlusTitle"/>
        <w:jc w:val="both"/>
      </w:pPr>
    </w:p>
    <w:p w:rsidR="00901768" w:rsidRDefault="006C4725">
      <w:pPr>
        <w:pStyle w:val="ConsPlusTitle"/>
        <w:jc w:val="center"/>
      </w:pPr>
      <w:bookmarkStart w:id="0" w:name="_GoBack"/>
      <w:r>
        <w:t xml:space="preserve">О недобросовестных практиках, имеющих место в деятельности отдельных </w:t>
      </w:r>
      <w:proofErr w:type="spellStart"/>
      <w:r>
        <w:t>мфо</w:t>
      </w:r>
      <w:proofErr w:type="spellEnd"/>
    </w:p>
    <w:bookmarkEnd w:id="0"/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ind w:firstLine="540"/>
        <w:jc w:val="both"/>
      </w:pPr>
      <w:r>
        <w:t xml:space="preserve">Банк России информирует о недопустимости применения недобросовестных практик в деятельности </w:t>
      </w:r>
      <w:proofErr w:type="spellStart"/>
      <w:r>
        <w:t>микрофинансовых</w:t>
      </w:r>
      <w:proofErr w:type="spellEnd"/>
      <w:r>
        <w:t xml:space="preserve"> организаций (далее - МФО), которые могут повлечь существенные риски нарушения прав заемщиков МФО.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Гражданское законодательство Российской Федерации предусматривает право МФО заключать договоры займа под залог недвижимого имущества, которое выступает в качестве обеспечения исполнения обязательств заемщика по договору займа. При этом к заключению и исполнению договора залога недвижимого имущества предъявляются специальные требования, направленные на защиту прав залогодателя.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Вместе с этим в ряде случаев МФО используется практика, при которой одновременно с заключением договора займа заемщику предлагается вместо договора залога подписать одно из следующих соглашений (а также иные, необходимые для государственной регистрации прав на недвижимое имущество, документы), в том числе без указания даты их заключения: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- соглашение о предоставлении отступного путем передачи МФО объекта недвижимости заемщика;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- договор купли-продажи объекта недвижимости заемщика, принадлежащего ему на праве собственности (в том числе оцененного по цене существенно ниже рыночной);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- договор дарения объекта недвижимости заемщика.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Полагаем, что совершение вышеуказанных действий при введении потребителей финансовых услуг в заблуждение относительно последствий заключаемых сделок (путем убеждения, что подобные действия являются обычной практикой при заключении договора займа, обеспеченного залогом недвижимого имущества; непредставления достаточной информации о характере и последствиях совершаемой сделки и пр.) свидетельствует о недобросовестности в действиях МФО.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 xml:space="preserve">Обращаем внимание, что в соответствии с </w:t>
      </w:r>
      <w:hyperlink r:id="rId4" w:history="1">
        <w:r>
          <w:rPr>
            <w:color w:val="0000FF"/>
          </w:rPr>
          <w:t>пунктом 2 статьи 8</w:t>
        </w:r>
      </w:hyperlink>
      <w:r>
        <w:t xml:space="preserve">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МФО, утвержденного Банком России 22.06.2017, применение недобросовестных практик в деятельности МФО не допускается.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С учетом изложенного в целях обеспечения надлежащей защиты прав заемщиков МФО, по мнению Банка России, в случае если стороны пришли к соглашению об обеспечении исполнения обязательств по договору займа за счет недвижимого имущества заемщика, такие отношения следует оформлять договором залога недвижимого имущества (ипотеки).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Настоящее письмо подлежит опубликованию на официальном сайте Банка России в информационно-телекоммуникационной сети "Интернет".</w:t>
      </w:r>
    </w:p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jc w:val="right"/>
      </w:pPr>
      <w:r>
        <w:t>Первый заместитель</w:t>
      </w:r>
    </w:p>
    <w:p w:rsidR="00901768" w:rsidRDefault="00901768">
      <w:pPr>
        <w:pStyle w:val="ConsPlusNormal"/>
        <w:jc w:val="right"/>
      </w:pPr>
      <w:r>
        <w:t>Председателя Банка России</w:t>
      </w:r>
    </w:p>
    <w:p w:rsidR="00901768" w:rsidRDefault="00901768">
      <w:pPr>
        <w:pStyle w:val="ConsPlusNormal"/>
        <w:jc w:val="right"/>
      </w:pPr>
      <w:r>
        <w:t>С.А.ШВЕЦОВ</w:t>
      </w:r>
    </w:p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1768" w:rsidSect="00004D6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68"/>
    <w:rsid w:val="00004D63"/>
    <w:rsid w:val="0019694F"/>
    <w:rsid w:val="006C4725"/>
    <w:rsid w:val="009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D68A-6C2E-4013-A48F-62197C90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FB3968A20B6A486877EB551440E9D026E03A724C099F931BDC754D77781B12B59D83E22DA758EDq2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Начальник</cp:lastModifiedBy>
  <cp:revision>3</cp:revision>
  <dcterms:created xsi:type="dcterms:W3CDTF">2018-07-10T07:16:00Z</dcterms:created>
  <dcterms:modified xsi:type="dcterms:W3CDTF">2018-07-12T05:01:00Z</dcterms:modified>
</cp:coreProperties>
</file>