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5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4</w:t>
        <w:br/>
        <w:t xml:space="preserve">к приказу</w:t>
      </w:r>
      <w:r>
        <w:rPr>
          <w:rFonts w:ascii="Times New Roman" w:hAnsi="Times New Roman" w:cs="Times New Roman"/>
          <w:sz w:val="20"/>
          <w:szCs w:val="20"/>
        </w:rPr>
        <w:t xml:space="preserve"> Департамента промышленности </w:t>
      </w:r>
      <w:r>
        <w:rPr>
          <w:rFonts w:ascii="Times New Roman" w:hAnsi="Times New Roman" w:cs="Times New Roman"/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Ханты-Мансийского автономного округа – Югры </w:t>
      </w:r>
      <w:r>
        <w:rPr>
          <w:rFonts w:ascii="Times New Roman" w:hAnsi="Times New Roman" w:cs="Times New Roman"/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jc w:val="right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 от 10.06.2026 № 38-п-238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5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75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Порядок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75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подачи и рассмотрения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заявок на предоставление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</w:t>
        <w:br/>
        <w:t xml:space="preserve">Ханты-Мансийском автономном округе – Югре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водных биологических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ресурсов в пользование для осуществления рыболовства в целях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обеспечения традиционного образа жизни и осуществления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традиционной хозяйственной деятельности коренных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малочисленных народов Севера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(далее – Порядок подачи и рассмотрения заявок)</w:t>
      </w:r>
      <w:r/>
    </w:p>
    <w:p>
      <w:pPr>
        <w:pStyle w:val="875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8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0" w:name="undefined"/>
      <w:r>
        <w:rPr>
          <w:sz w:val="28"/>
          <w:szCs w:val="28"/>
        </w:rPr>
      </w:r>
      <w:bookmarkEnd w:id="0"/>
      <w:r>
        <w:rPr>
          <w:sz w:val="28"/>
          <w:szCs w:val="28"/>
        </w:rPr>
        <w:t xml:space="preserve">1. В соответствии с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приказом Министерства сельского хозяйства Российской Федерации от 7 мая 2018 года № 196 «Об утверждении Административного регламента органов исполнительно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й власти субъектов Российской Федерации по предоставлению государственной услуги в сфере переданных полномочий Российской Федерации по подготовке и принятию решении о предоставлении водных биологических ресурсов в пользование для осуществления рыболовства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целях обеспечения ведения традиционного образа жизни и осуществления традиционной хозяйственной деятельности коренных малочисленных народов Север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а, Сибири и Дальнего Востока Российской Федерации»</w:t>
      </w:r>
      <w:r>
        <w:rPr>
          <w:sz w:val="28"/>
          <w:szCs w:val="28"/>
        </w:rPr>
        <w:t xml:space="preserve"> (далее – административный регламент № 196) Департамент промышленности Ханты-Мансийского автономного округа – Югры (далее – Департамент) осуществляет </w:t>
      </w:r>
      <w:r>
        <w:rPr>
          <w:sz w:val="28"/>
          <w:szCs w:val="28"/>
        </w:rPr>
        <w:t xml:space="preserve">предоставление государственной услуги по подготовке и принятию решения о предоставлении водных биологических ресурсов в пользование для осуществления рыболовс</w:t>
      </w:r>
      <w:r>
        <w:rPr>
          <w:sz w:val="28"/>
          <w:szCs w:val="28"/>
        </w:rPr>
        <w:t xml:space="preserve">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(далее – государственная услуга, традиционное рыболовство)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sz w:val="28"/>
          <w:szCs w:val="28"/>
        </w:rPr>
        <w:t xml:space="preserve">2. Департамент осуществляет прием заявок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предоставление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</w:t>
        <w:br/>
        <w:t xml:space="preserve">Ханты-Мансийском автономном округе – Югре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водных биологических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ресурсов в пользование для осуществления традиционного рыболовства (далее – заявка) по установленным настоящим приказом формам </w:t>
      </w:r>
      <w:r>
        <w:rPr>
          <w:sz w:val="28"/>
          <w:szCs w:val="28"/>
        </w:rPr>
        <w:t xml:space="preserve">(приложение 1, 2) до 1 сентября года, предшествующего году осуществления традиционного рыболовства.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Общий срок предоставления государственной услуги составляет не более 120 дней с даты окончания приема заявок.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3. </w:t>
      </w:r>
      <w:r>
        <w:rPr>
          <w:sz w:val="28"/>
          <w:szCs w:val="28"/>
        </w:rPr>
        <w:t xml:space="preserve">Заявителями</w:t>
      </w:r>
      <w:r>
        <w:rPr>
          <w:sz w:val="28"/>
          <w:szCs w:val="28"/>
        </w:rPr>
        <w:t xml:space="preserve"> являются лица, относящиеся к коренным малочисленным народам Севера, Сибири и Дальнего Востока Российской Федерации, а также их общины в соответствии с Единым </w:t>
      </w:r>
      <w:hyperlink r:id="rId13" w:tooltip="Постановление Правительства РФ от 24.03.2000 N 255 (ред. от 18.12.2021) &quot;О Едином перечне коренных малочисленных народов Российской Федерации&quot; {КонсультантПлюс}" w:history="1">
        <w:r>
          <w:rPr>
            <w:color w:val="000000" w:themeColor="text1"/>
            <w:sz w:val="28"/>
            <w:szCs w:val="28"/>
          </w:rPr>
          <w:t xml:space="preserve">перечнем</w:t>
        </w:r>
      </w:hyperlink>
      <w:r>
        <w:rPr>
          <w:sz w:val="28"/>
          <w:szCs w:val="28"/>
        </w:rPr>
        <w:t xml:space="preserve"> коренных малочисленных народов Российской Федерации, утвержденным постановлением Правительст</w:t>
      </w:r>
      <w:r>
        <w:rPr>
          <w:sz w:val="28"/>
          <w:szCs w:val="28"/>
        </w:rPr>
        <w:t xml:space="preserve">ва Российской Федерации от 24 марта 2000 года № 255, </w:t>
      </w:r>
      <w:hyperlink r:id="rId14" w:tooltip="Распоряжение Правительства РФ от 17.04.2006 N 536-р (ред. от 26.12.2011) &lt;Об утверждении перечня коренных малочисленных народов Севера, Сибири и Дальнего Востока Российской Федерации&gt; {КонсультантПлюс}" w:history="1">
        <w:r>
          <w:rPr>
            <w:color w:val="000000" w:themeColor="text1"/>
            <w:sz w:val="28"/>
            <w:szCs w:val="28"/>
          </w:rPr>
          <w:t xml:space="preserve">перечнем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коренных малочисленных народов Север</w:t>
      </w:r>
      <w:r>
        <w:rPr>
          <w:sz w:val="28"/>
          <w:szCs w:val="28"/>
        </w:rPr>
        <w:t xml:space="preserve">а, Сибири и Дальнего Востока Российской Федерации, утвержденным распоряжением Правительства Российской Федерации от 17 апреля 2006 г. № 536-р, </w:t>
      </w:r>
      <w:hyperlink r:id="rId15" w:tooltip="Распоряжение Правительства РФ от 08.05.2009 N 631-р (ред. от 15.11.2025) &lt;Об утверждении пере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 малочисленных народов Российской Федерации&gt; {КонсультантПлюс}" w:history="1">
        <w:r>
          <w:rPr>
            <w:color w:val="000000" w:themeColor="text1"/>
            <w:sz w:val="28"/>
            <w:szCs w:val="28"/>
          </w:rPr>
          <w:t xml:space="preserve">перечнем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 традиционного проживания и традиционной хозяйственной деятельности коренных малочисленных народов Российск</w:t>
      </w:r>
      <w:r>
        <w:rPr>
          <w:sz w:val="28"/>
          <w:szCs w:val="28"/>
        </w:rPr>
        <w:t xml:space="preserve">ой Федерации, утвержденным распоряжением Правительства Российской Федерации от 8 мая 2009 года № 631-р (далее - заявители).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bookmarkStart w:id="156" w:name="P156"/>
      <w:r>
        <w:rPr>
          <w:rFonts w:ascii="Times New Roman" w:hAnsi="Times New Roman" w:cs="Times New Roman"/>
          <w:sz w:val="28"/>
          <w:szCs w:val="28"/>
        </w:rPr>
      </w:r>
      <w:bookmarkEnd w:id="156"/>
      <w:r>
        <w:rPr>
          <w:rFonts w:ascii="Times New Roman" w:hAnsi="Times New Roman" w:cs="Times New Roman"/>
          <w:sz w:val="28"/>
          <w:szCs w:val="28"/>
        </w:rPr>
        <w:t xml:space="preserve">4. Заявитель может подать заявку следующими способами:</w:t>
      </w:r>
      <w:r>
        <w:rPr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а) лично в Департамент по адресу: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628011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г.Ханты-Мансийск, ул.Рознина, д.64, каб. 306, контактный номер телефона для получения дополнительной информации: 8(3467) 35-34-04, доб.3835, доб.3878, доб.3834;</w:t>
      </w: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  <w:t xml:space="preserve">б) посредством почтовой связи (заказным почтовым отправлением) по адресу: Департамент промышленности Ханты-Мансийского автономного округа – Югры,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628011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г.Ханты-Мансийск, ул.Рознина, д.64, каб.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315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306;</w:t>
      </w: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  <w:t xml:space="preserve">в) в форме электронного документа, подписанного усиленной квалифицированной электронной подписью, по адресу электронной почты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промышленности Ханты-Мансийского автономного </w:t>
        <w:br/>
        <w:t xml:space="preserve">округа – Югры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tooltip="mailto:depprom@admhmao.ru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depprom@admhmao.ru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г) в форме электрон</w:t>
      </w:r>
      <w:r>
        <w:rPr>
          <w:rFonts w:ascii="Times New Roman" w:hAnsi="Times New Roman" w:cs="Times New Roman"/>
          <w:sz w:val="28"/>
          <w:szCs w:val="28"/>
        </w:rPr>
        <w:t xml:space="preserve">ного документа, подписанного простой электронной подписью, через федеральную государственную информационную систему «Единый портал государственных и муниципальных услуг (функций)», портал государственных и муниципальных услуг субъекта Российской Федерации.</w:t>
      </w: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Заявка </w:t>
      </w:r>
      <w:r>
        <w:rPr>
          <w:rFonts w:ascii="Times New Roman" w:hAnsi="Times New Roman" w:cs="Times New Roman"/>
          <w:sz w:val="28"/>
          <w:szCs w:val="28"/>
        </w:rPr>
        <w:t xml:space="preserve">после поступления в Департамент регистрируется в срок не позднее 1 рабочего дня, следующего за днем ее поступления в Департамент, с указанием даты получения и присвоением регистрационного номера.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случае если заявитель подал заявку в электронной форме, в том числе с использованием федеральной государственной информационной системы «Единый п</w:t>
      </w:r>
      <w:r>
        <w:rPr>
          <w:rFonts w:ascii="Times New Roman" w:hAnsi="Times New Roman" w:cs="Times New Roman"/>
          <w:sz w:val="28"/>
          <w:szCs w:val="28"/>
        </w:rPr>
        <w:t xml:space="preserve">ортал государственных и муниципальных услуг (функций)», портала государственных и муниципальных услуг субъекта Российской Федерации, ему направляется уведомление в форме электронного документа о получении его заявки с указанием даты и времени ее получения.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Заявка, поступившая после окончания срока, указанного в пункте 2 Порядка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подачи и рассмотрения заявок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, не рассматривается и в тот же день возвращается заявителю.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Не подлежат приему заявки: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а) оформленные на иностранном языке;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имеющие подчистки, либо приписки, зачеркнутые слова или иные, не оговоренные в них исправления, заполненные карандашом, а также документы с повреждениями, не позволяющими однозначно истолковать их содержание.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Также не подлежат приему заявки,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представленные в форме электронного документа, в том числе: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а) не подписанные простой или усиленной квалифицированной электронной подписью;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имеющие не оговоренные в них исправления;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в) не пригодные для восприятия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г) если в результате проверки действительности используемой усиленной квалифицированной электронной подписи выявлено несоблюдение установленных </w:t>
      </w:r>
      <w:hyperlink r:id="rId17" w:tooltip="Федеральный закон от 06.04.2011 N 63-ФЗ (ред. от 31.07.2025) &quot;Об электронной подписи&quo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статьей 11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6 апреля 2011 года № 63-ФЗ «Об электронной подписи» условий признания ее действительности.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6. Заявитель вправе изменить или отозвать заявку до окончания срока ее подачи, указанного в абзаце 1 пункта 2 настоящего порядка.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7. Основаниями для отказа в предоставлении государственной услуги являются: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а) представление заявки не по установленной форме;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предоставление недостоверной, искаженной или неполной информации в заявке;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в) несоответствие заявителя требованиям, установленным пункт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hyperlink w:tooltip="2. Заявителями в целях получения государственной услуги в сфере переданных полномочий Российской Федерации по подготовке и принятию решения о предоставлении водных биологических ресурсов в пользование для осуществления традиционного рыболовства являются лица, относящиеся к коренным малочисленным народам Севера, Сибири и Дальнего Востока Российской Федерации, а также их общины в соответствии с Единым перечнем коренных малочисленных народов Российской Федерации, утвержденным постановлением Правительства Ро..." w:anchor="P53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Порядок подачи и рассмотрения заявок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г) отсутствие квот добычи (вылова) водных биологических ресурсов для осуществления традиционного рыболовства (в отношении водных биологических ресурсов, общий допустимый улов которых устанавливается) или отсутствие возможности добычи (выло</w:t>
      </w:r>
      <w:r>
        <w:rPr>
          <w:rFonts w:ascii="Times New Roman" w:hAnsi="Times New Roman" w:cs="Times New Roman"/>
          <w:sz w:val="28"/>
          <w:szCs w:val="28"/>
        </w:rPr>
        <w:t xml:space="preserve">ва) водных биологических ресурсов в объеме и в районе добычи (вылова) водных биологических ресурсов, указанных в заявке, на основании данных научных исследований (в отношении водных биологических ресурсов, общий допустимый улов которых не устанавливается).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Заявитель, заявка которого признается Департаментом как не подлежащая удовлетворению, вправе направить новую заявку при условии, что она будет предоставлена до окончания срока подачи заявок, </w:t>
      </w:r>
      <w:r>
        <w:rPr>
          <w:rFonts w:ascii="Times New Roman" w:hAnsi="Times New Roman" w:cs="Times New Roman"/>
          <w:sz w:val="28"/>
          <w:szCs w:val="28"/>
        </w:rPr>
        <w:t xml:space="preserve">указанного в абзаце 1 пункта 2 настоящего порядка.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81"/>
        <w:ind w:firstLine="540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8. </w:t>
      </w:r>
      <w:r>
        <w:rPr>
          <w:color w:val="000000" w:themeColor="text1"/>
          <w:sz w:val="28"/>
          <w:szCs w:val="28"/>
        </w:rPr>
        <w:t xml:space="preserve">По результатам рассмотрения заявок Департамент в течение срока, указанного в </w:t>
      </w:r>
      <w:hyperlink w:tooltip="62. Должностное лицо Уполномоченного органа, ответственное за предоставление государственной услуги, рассматривает заявку в срок не более 120 дней с даты окончания приема заявок." w:anchor="P356" w:history="1">
        <w:r>
          <w:rPr>
            <w:color w:val="000000" w:themeColor="text1"/>
            <w:sz w:val="28"/>
            <w:szCs w:val="28"/>
          </w:rPr>
          <w:t xml:space="preserve">абзаце 2</w:t>
        </w:r>
      </w:hyperlink>
      <w:r>
        <w:rPr>
          <w:color w:val="000000" w:themeColor="text1"/>
          <w:sz w:val="28"/>
          <w:szCs w:val="28"/>
        </w:rPr>
        <w:t xml:space="preserve"> пунк</w:t>
      </w:r>
      <w:r>
        <w:rPr>
          <w:color w:val="000000" w:themeColor="text1"/>
          <w:sz w:val="28"/>
          <w:szCs w:val="28"/>
        </w:rPr>
        <w:t xml:space="preserve">та 2 Порядка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подачи и рассмотрения заявок</w:t>
      </w:r>
      <w:r>
        <w:rPr>
          <w:color w:val="000000" w:themeColor="text1"/>
          <w:sz w:val="28"/>
          <w:szCs w:val="28"/>
        </w:rPr>
        <w:t xml:space="preserve">, принимает решение о предоставлении водных биологических ресурсов в пользование для осуществления традиционного рыболовства, либо решение об отказе в предоставлении водных биологических ресурсов в пользование для осуществления традиционного рыболовства.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Решение о предоставлении водных биологических ресурсов в пользование для осуществления традиционного рыболовства</w:t>
      </w:r>
      <w:r>
        <w:rPr>
          <w:color w:val="000000" w:themeColor="text1"/>
          <w:sz w:val="28"/>
          <w:szCs w:val="28"/>
        </w:rPr>
        <w:t xml:space="preserve"> формируется и утверждается в форме приказа Департамента и размещается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информацион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официальном сайте Департамента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  <w:highlight w:val="none"/>
          <w:lang w:val="ru-RU"/>
        </w:rPr>
        <w:t xml:space="preserve">https://depprom.admhmao.ru</w:t>
      </w:r>
      <w:r>
        <w:rPr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highlight w:val="none"/>
        </w:rPr>
      </w:pPr>
      <w:r>
        <w:rPr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</w:rPr>
        <w:t xml:space="preserve">Департамент в течение 3-х рабочих дней со дня принятия решения </w:t>
      </w:r>
      <w:r>
        <w:rPr>
          <w:color w:val="000000" w:themeColor="text1"/>
          <w:sz w:val="28"/>
          <w:szCs w:val="28"/>
        </w:rPr>
        <w:t xml:space="preserve">о предоставлении водных биологических ресурсов в пользование для осуществления традиционного рыболовства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 заявителю копию приказа Департамента о предоставлении водных биологических ре</w:t>
      </w:r>
      <w:r>
        <w:rPr>
          <w:rFonts w:ascii="Times New Roman" w:hAnsi="Times New Roman" w:cs="Times New Roman"/>
          <w:sz w:val="28"/>
          <w:szCs w:val="28"/>
        </w:rPr>
        <w:t xml:space="preserve">сурсов в пользование для традиционного рыболовства либо уведомление об отказе в предоставлении водных биологических ресурсов в пользование для традиционного рыболовства путем личного вручения или почтового отправления или на адрес электронной почты, указан</w:t>
      </w:r>
      <w:r>
        <w:rPr>
          <w:rFonts w:ascii="Times New Roman" w:hAnsi="Times New Roman" w:cs="Times New Roman"/>
          <w:sz w:val="28"/>
          <w:szCs w:val="28"/>
        </w:rPr>
        <w:t xml:space="preserve">ный в заявке, либо направляет в личный кабинет заявителя в федеральной государственной информационной системе «Единый портал государственных и муниципальных услуг (функций)», либо портале государственных и муниципальных услуг субъекта Российской Федерации.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/>
    </w:p>
    <w:p>
      <w:pPr>
        <w:pStyle w:val="881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  <w:lang w:val="ru-RU"/>
        </w:rPr>
        <w:t xml:space="preserve">Порядок принятия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color w:val="000000" w:themeColor="text1"/>
          <w:sz w:val="28"/>
          <w:szCs w:val="28"/>
        </w:rPr>
        <w:t xml:space="preserve">о предоставлении либо об отказе в предоставлении водных биологических ресурсов в пользование для осуществления традиционного рыболовства</w:t>
      </w:r>
      <w:r>
        <w:rPr>
          <w:sz w:val="28"/>
          <w:szCs w:val="28"/>
          <w:highlight w:val="none"/>
          <w:lang w:val="ru-RU"/>
        </w:rPr>
        <w:t xml:space="preserve"> и порядок уведомления заявителей о принятых решениях осуществляется в соответствии с положениями административного регламента № 196.</w:t>
      </w:r>
      <w:r>
        <w:rPr>
          <w:sz w:val="28"/>
          <w:szCs w:val="28"/>
          <w:highlight w:val="none"/>
          <w:lang w:val="ru-RU"/>
        </w:rPr>
      </w:r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417" w:right="1276" w:bottom="1134" w:left="1559" w:header="0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entury Gothic">
    <w:panose1 w:val="020B0502020202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868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/>
  </w:p>
  <w:p>
    <w:pPr>
      <w:pStyle w:val="868"/>
      <w:jc w:val="center"/>
      <w:rPr>
        <w:rFonts w:ascii="Times New Roman" w:hAnsi="Times New Roman" w:cs="Times New Roman"/>
        <w:sz w:val="24"/>
        <w:szCs w:val="24"/>
        <w:highlight w:val="none"/>
      </w:rPr>
    </w:pPr>
    <w:fldSimple w:instr="PAGE \* MERGEFORMAT">
      <w:r>
        <w:rPr>
          <w:rFonts w:ascii="Times New Roman" w:hAnsi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/>
  </w:p>
  <w:p>
    <w:pPr>
      <w:pStyle w:val="8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Heading 1"/>
    <w:basedOn w:val="861"/>
    <w:next w:val="861"/>
    <w:link w:val="68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9">
    <w:name w:val="Heading 1 Char"/>
    <w:basedOn w:val="862"/>
    <w:link w:val="688"/>
    <w:uiPriority w:val="9"/>
    <w:rPr>
      <w:rFonts w:ascii="Arial" w:hAnsi="Arial" w:eastAsia="Arial" w:cs="Arial"/>
      <w:sz w:val="40"/>
      <w:szCs w:val="40"/>
    </w:rPr>
  </w:style>
  <w:style w:type="paragraph" w:styleId="690">
    <w:name w:val="Heading 2"/>
    <w:basedOn w:val="861"/>
    <w:next w:val="861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1">
    <w:name w:val="Heading 2 Char"/>
    <w:basedOn w:val="862"/>
    <w:link w:val="690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1"/>
    <w:next w:val="861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2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1"/>
    <w:next w:val="861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2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1"/>
    <w:next w:val="861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2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1"/>
    <w:next w:val="861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2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1"/>
    <w:next w:val="861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2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1"/>
    <w:next w:val="861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2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1"/>
    <w:next w:val="861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2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List Paragraph"/>
    <w:basedOn w:val="861"/>
    <w:uiPriority w:val="34"/>
    <w:qFormat/>
    <w:pPr>
      <w:contextualSpacing/>
      <w:ind w:left="720"/>
    </w:pPr>
  </w:style>
  <w:style w:type="paragraph" w:styleId="707">
    <w:name w:val="Title"/>
    <w:basedOn w:val="861"/>
    <w:next w:val="861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2"/>
    <w:link w:val="707"/>
    <w:uiPriority w:val="10"/>
    <w:rPr>
      <w:sz w:val="48"/>
      <w:szCs w:val="48"/>
    </w:rPr>
  </w:style>
  <w:style w:type="paragraph" w:styleId="709">
    <w:name w:val="Subtitle"/>
    <w:basedOn w:val="861"/>
    <w:next w:val="861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2"/>
    <w:link w:val="709"/>
    <w:uiPriority w:val="11"/>
    <w:rPr>
      <w:sz w:val="24"/>
      <w:szCs w:val="24"/>
    </w:rPr>
  </w:style>
  <w:style w:type="paragraph" w:styleId="711">
    <w:name w:val="Quote"/>
    <w:basedOn w:val="861"/>
    <w:next w:val="861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1"/>
    <w:next w:val="861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2"/>
    <w:link w:val="868"/>
    <w:uiPriority w:val="99"/>
  </w:style>
  <w:style w:type="character" w:styleId="716">
    <w:name w:val="Footer Char"/>
    <w:basedOn w:val="862"/>
    <w:link w:val="870"/>
    <w:uiPriority w:val="99"/>
  </w:style>
  <w:style w:type="paragraph" w:styleId="717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717"/>
    <w:link w:val="870"/>
    <w:uiPriority w:val="99"/>
  </w:style>
  <w:style w:type="table" w:styleId="719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6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basedOn w:val="862"/>
    <w:uiPriority w:val="99"/>
    <w:unhideWhenUsed/>
    <w:rPr>
      <w:vertAlign w:val="superscript"/>
    </w:rPr>
  </w:style>
  <w:style w:type="paragraph" w:styleId="847">
    <w:name w:val="endnote text"/>
    <w:basedOn w:val="86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basedOn w:val="862"/>
    <w:uiPriority w:val="99"/>
    <w:semiHidden/>
    <w:unhideWhenUsed/>
    <w:rPr>
      <w:vertAlign w:val="superscript"/>
    </w:rPr>
  </w:style>
  <w:style w:type="paragraph" w:styleId="850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1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2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3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paragraph" w:styleId="865">
    <w:name w:val="Balloon Text"/>
    <w:basedOn w:val="861"/>
    <w:link w:val="8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basedOn w:val="862"/>
    <w:link w:val="865"/>
    <w:uiPriority w:val="99"/>
    <w:semiHidden/>
    <w:rPr>
      <w:rFonts w:ascii="Tahoma" w:hAnsi="Tahoma" w:cs="Tahoma"/>
      <w:sz w:val="16"/>
      <w:szCs w:val="16"/>
    </w:rPr>
  </w:style>
  <w:style w:type="table" w:styleId="867">
    <w:name w:val="Table Grid"/>
    <w:basedOn w:val="86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8">
    <w:name w:val="Header"/>
    <w:basedOn w:val="861"/>
    <w:link w:val="8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9" w:customStyle="1">
    <w:name w:val="Верхний колонтитул Знак"/>
    <w:basedOn w:val="862"/>
    <w:link w:val="868"/>
    <w:uiPriority w:val="99"/>
  </w:style>
  <w:style w:type="paragraph" w:styleId="870">
    <w:name w:val="Footer"/>
    <w:basedOn w:val="861"/>
    <w:link w:val="8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1" w:customStyle="1">
    <w:name w:val="Нижний колонтитул Знак"/>
    <w:basedOn w:val="862"/>
    <w:link w:val="870"/>
    <w:uiPriority w:val="99"/>
  </w:style>
  <w:style w:type="paragraph" w:styleId="872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73">
    <w:name w:val="Body Text Indent"/>
    <w:basedOn w:val="861"/>
    <w:link w:val="874"/>
    <w:pPr>
      <w:ind w:left="283"/>
      <w:spacing w:after="120"/>
    </w:pPr>
    <w:rPr>
      <w:rFonts w:ascii="Century Gothic" w:hAnsi="Century Gothic" w:eastAsia="Times New Roman" w:cs="Times New Roman"/>
      <w:lang w:val="en-US"/>
    </w:rPr>
  </w:style>
  <w:style w:type="character" w:styleId="874" w:customStyle="1">
    <w:name w:val="Основной текст с отступом Знак"/>
    <w:basedOn w:val="862"/>
    <w:link w:val="873"/>
    <w:rPr>
      <w:rFonts w:ascii="Century Gothic" w:hAnsi="Century Gothic" w:eastAsia="Times New Roman" w:cs="Times New Roman"/>
      <w:lang w:val="en-US"/>
    </w:rPr>
  </w:style>
  <w:style w:type="paragraph" w:styleId="875">
    <w:name w:val="No Spacing"/>
    <w:uiPriority w:val="1"/>
    <w:qFormat/>
    <w:pPr>
      <w:spacing w:after="0" w:line="240" w:lineRule="auto"/>
    </w:pPr>
  </w:style>
  <w:style w:type="paragraph" w:styleId="876">
    <w:name w:val="Body Text 2"/>
    <w:basedOn w:val="861"/>
    <w:link w:val="877"/>
    <w:uiPriority w:val="99"/>
    <w:unhideWhenUsed/>
    <w:pPr>
      <w:spacing w:after="120" w:line="480" w:lineRule="auto"/>
    </w:pPr>
  </w:style>
  <w:style w:type="character" w:styleId="877" w:customStyle="1">
    <w:name w:val="Основной текст 2 Знак"/>
    <w:basedOn w:val="862"/>
    <w:link w:val="876"/>
    <w:uiPriority w:val="99"/>
  </w:style>
  <w:style w:type="paragraph" w:styleId="878" w:customStyle="1">
    <w:name w:val="Default"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879">
    <w:name w:val="Hyperlink"/>
    <w:basedOn w:val="862"/>
    <w:uiPriority w:val="99"/>
    <w:unhideWhenUsed/>
    <w:rPr>
      <w:color w:val="0000ff" w:themeColor="hyperlink"/>
      <w:u w:val="single"/>
    </w:rPr>
  </w:style>
  <w:style w:type="character" w:styleId="880" w:customStyle="1">
    <w:name w:val="extended-text__short"/>
    <w:basedOn w:val="862"/>
  </w:style>
  <w:style w:type="paragraph" w:styleId="881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character" w:styleId="882">
    <w:name w:val="Strong"/>
    <w:basedOn w:val="862"/>
    <w:uiPriority w:val="22"/>
    <w:qFormat/>
    <w:rPr>
      <w:b/>
      <w:bCs/>
    </w:rPr>
  </w:style>
  <w:style w:type="paragraph" w:styleId="883" w:customStyle="1">
    <w:name w:val="       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Courier New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4" w:customStyle="1">
    <w:name w:val="ConsPlusNonforma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5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login.consultant.ru/link/?req=doc&amp;base=LAW&amp;n=404144&amp;date=09.06.2026&amp;dst=100012&amp;field=134" TargetMode="External"/><Relationship Id="rId14" Type="http://schemas.openxmlformats.org/officeDocument/2006/relationships/hyperlink" Target="https://login.consultant.ru/link/?req=doc&amp;base=LAW&amp;n=124261&amp;date=09.06.2026&amp;dst=100006&amp;field=134" TargetMode="External"/><Relationship Id="rId15" Type="http://schemas.openxmlformats.org/officeDocument/2006/relationships/hyperlink" Target="https://login.consultant.ru/link/?req=doc&amp;base=LAW&amp;n=519000&amp;date=09.06.2026&amp;dst=100008&amp;field=134" TargetMode="External"/><Relationship Id="rId16" Type="http://schemas.openxmlformats.org/officeDocument/2006/relationships/hyperlink" Target="mailto:depprom@admhmao.ru" TargetMode="External"/><Relationship Id="rId17" Type="http://schemas.openxmlformats.org/officeDocument/2006/relationships/hyperlink" Target="https://login.consultant.ru/link/?req=doc&amp;base=LAW&amp;n=511602&amp;date=09.06.2026&amp;dst=100088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0017-04A6-4E84-8FA5-4AACE21FC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42</cp:revision>
  <dcterms:created xsi:type="dcterms:W3CDTF">2020-07-02T06:46:00Z</dcterms:created>
  <dcterms:modified xsi:type="dcterms:W3CDTF">2026-06-11T04:29:38Z</dcterms:modified>
</cp:coreProperties>
</file>