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1467" w:rsidRDefault="00B70D3E">
      <w:pPr>
        <w:spacing w:line="276" w:lineRule="auto"/>
        <w:jc w:val="right"/>
      </w:pPr>
      <w:bookmarkStart w:id="0" w:name="_GoBack"/>
      <w:bookmarkEnd w:id="0"/>
      <w:r>
        <w:t>Утвержден пунктом 1.2 протокола заседания</w:t>
      </w:r>
    </w:p>
    <w:p w:rsidR="00DC1467" w:rsidRDefault="00B70D3E">
      <w:pPr>
        <w:spacing w:line="276" w:lineRule="auto"/>
        <w:jc w:val="right"/>
      </w:pPr>
      <w:r>
        <w:t xml:space="preserve">Антинаркотической комиссии </w:t>
      </w:r>
      <w:r>
        <w:br/>
        <w:t xml:space="preserve">Ханты-Мансийского автономного округа – Югры </w:t>
      </w:r>
    </w:p>
    <w:p w:rsidR="00DC1467" w:rsidRDefault="00B70D3E">
      <w:pPr>
        <w:spacing w:line="276" w:lineRule="auto"/>
        <w:jc w:val="right"/>
      </w:pPr>
      <w:r>
        <w:t>от «18» марта 2025 года № 1</w:t>
      </w:r>
    </w:p>
    <w:p w:rsidR="00DC1467" w:rsidRDefault="00B70D3E">
      <w:pPr>
        <w:tabs>
          <w:tab w:val="left" w:pos="5900"/>
        </w:tabs>
        <w:spacing w:line="276" w:lineRule="auto"/>
        <w:rPr>
          <w:b/>
        </w:rPr>
      </w:pPr>
      <w:r>
        <w:rPr>
          <w:b/>
        </w:rPr>
        <w:tab/>
      </w:r>
    </w:p>
    <w:p w:rsidR="00DC1467" w:rsidRDefault="00DC1467">
      <w:pPr>
        <w:spacing w:line="276" w:lineRule="auto"/>
        <w:ind w:firstLine="0"/>
        <w:jc w:val="center"/>
        <w:rPr>
          <w:b/>
        </w:rPr>
      </w:pPr>
    </w:p>
    <w:p w:rsidR="00DC1467" w:rsidRDefault="00DC1467">
      <w:pPr>
        <w:spacing w:line="276" w:lineRule="auto"/>
        <w:ind w:firstLine="0"/>
        <w:jc w:val="center"/>
        <w:rPr>
          <w:b/>
        </w:rPr>
      </w:pPr>
    </w:p>
    <w:p w:rsidR="00DC1467" w:rsidRDefault="00B70D3E">
      <w:pPr>
        <w:tabs>
          <w:tab w:val="left" w:pos="5620"/>
        </w:tabs>
        <w:spacing w:line="276" w:lineRule="auto"/>
        <w:ind w:firstLine="0"/>
        <w:rPr>
          <w:b/>
        </w:rPr>
      </w:pPr>
      <w:r>
        <w:rPr>
          <w:b/>
        </w:rPr>
        <w:tab/>
      </w:r>
    </w:p>
    <w:p w:rsidR="00DC1467" w:rsidRDefault="00DC1467">
      <w:pPr>
        <w:spacing w:line="276" w:lineRule="auto"/>
        <w:ind w:firstLine="0"/>
        <w:jc w:val="center"/>
        <w:rPr>
          <w:b/>
        </w:rPr>
      </w:pPr>
    </w:p>
    <w:p w:rsidR="00DC1467" w:rsidRDefault="00DC1467">
      <w:pPr>
        <w:spacing w:line="276" w:lineRule="auto"/>
        <w:ind w:firstLine="0"/>
        <w:jc w:val="center"/>
        <w:rPr>
          <w:sz w:val="36"/>
          <w:szCs w:val="36"/>
        </w:rPr>
      </w:pPr>
    </w:p>
    <w:p w:rsidR="00DC1467" w:rsidRDefault="00DC1467">
      <w:pPr>
        <w:spacing w:line="276" w:lineRule="auto"/>
        <w:ind w:firstLine="0"/>
        <w:jc w:val="center"/>
        <w:rPr>
          <w:sz w:val="36"/>
          <w:szCs w:val="36"/>
        </w:rPr>
      </w:pPr>
    </w:p>
    <w:p w:rsidR="00DC1467" w:rsidRDefault="00DC1467">
      <w:pPr>
        <w:spacing w:line="276" w:lineRule="auto"/>
        <w:ind w:firstLine="0"/>
        <w:jc w:val="center"/>
        <w:rPr>
          <w:sz w:val="36"/>
          <w:szCs w:val="36"/>
        </w:rPr>
      </w:pPr>
    </w:p>
    <w:p w:rsidR="00DC1467" w:rsidRDefault="00B70D3E">
      <w:pPr>
        <w:pStyle w:val="1"/>
        <w:spacing w:before="0"/>
        <w:jc w:val="center"/>
        <w:rPr>
          <w:rFonts w:ascii="Times New Roman" w:hAnsi="Times New Roman"/>
          <w:sz w:val="48"/>
          <w:szCs w:val="48"/>
        </w:rPr>
      </w:pPr>
      <w:r>
        <w:rPr>
          <w:rFonts w:ascii="Times New Roman" w:hAnsi="Times New Roman"/>
          <w:sz w:val="48"/>
          <w:szCs w:val="48"/>
        </w:rPr>
        <w:t xml:space="preserve">Доклад </w:t>
      </w:r>
      <w:r>
        <w:rPr>
          <w:rFonts w:ascii="Times New Roman" w:hAnsi="Times New Roman"/>
          <w:sz w:val="48"/>
          <w:szCs w:val="48"/>
        </w:rPr>
        <w:br/>
        <w:t xml:space="preserve">о наркоситуации </w:t>
      </w:r>
    </w:p>
    <w:p w:rsidR="00DC1467" w:rsidRDefault="00B70D3E">
      <w:pPr>
        <w:pStyle w:val="1"/>
        <w:spacing w:before="0"/>
        <w:jc w:val="center"/>
        <w:rPr>
          <w:rFonts w:ascii="Times New Roman" w:hAnsi="Times New Roman"/>
          <w:sz w:val="48"/>
          <w:szCs w:val="48"/>
        </w:rPr>
      </w:pPr>
      <w:r>
        <w:rPr>
          <w:rFonts w:ascii="Times New Roman" w:hAnsi="Times New Roman"/>
          <w:sz w:val="48"/>
          <w:szCs w:val="48"/>
        </w:rPr>
        <w:t>в Ханты-Мансийском</w:t>
      </w:r>
      <w:r>
        <w:rPr>
          <w:rFonts w:ascii="Times New Roman" w:hAnsi="Times New Roman"/>
          <w:sz w:val="48"/>
          <w:szCs w:val="48"/>
        </w:rPr>
        <w:br/>
        <w:t>автономном округе – Югре</w:t>
      </w:r>
      <w:r>
        <w:rPr>
          <w:rFonts w:ascii="Times New Roman" w:hAnsi="Times New Roman"/>
          <w:sz w:val="48"/>
          <w:szCs w:val="48"/>
        </w:rPr>
        <w:br/>
        <w:t>в 2024 году</w:t>
      </w:r>
    </w:p>
    <w:p w:rsidR="00DC1467" w:rsidRDefault="00DC1467">
      <w:pPr>
        <w:spacing w:line="276" w:lineRule="auto"/>
        <w:ind w:firstLine="0"/>
        <w:jc w:val="center"/>
        <w:rPr>
          <w:b/>
        </w:rPr>
      </w:pPr>
    </w:p>
    <w:p w:rsidR="00DC1467" w:rsidRDefault="00DC1467">
      <w:pPr>
        <w:spacing w:line="276" w:lineRule="auto"/>
        <w:ind w:firstLine="0"/>
        <w:jc w:val="center"/>
        <w:rPr>
          <w:b/>
        </w:rPr>
      </w:pPr>
    </w:p>
    <w:p w:rsidR="00DC1467" w:rsidRDefault="00DC1467">
      <w:pPr>
        <w:spacing w:line="276" w:lineRule="auto"/>
        <w:ind w:firstLine="0"/>
        <w:jc w:val="center"/>
        <w:rPr>
          <w:b/>
        </w:rPr>
      </w:pPr>
    </w:p>
    <w:p w:rsidR="00DC1467" w:rsidRDefault="00DC1467">
      <w:pPr>
        <w:spacing w:line="276" w:lineRule="auto"/>
        <w:ind w:firstLine="0"/>
        <w:jc w:val="center"/>
        <w:rPr>
          <w:b/>
        </w:rPr>
      </w:pPr>
    </w:p>
    <w:p w:rsidR="00DC1467" w:rsidRDefault="00DC1467">
      <w:pPr>
        <w:spacing w:line="276" w:lineRule="auto"/>
        <w:ind w:firstLine="0"/>
        <w:jc w:val="center"/>
        <w:rPr>
          <w:b/>
        </w:rPr>
      </w:pPr>
    </w:p>
    <w:p w:rsidR="00DC1467" w:rsidRDefault="00DC1467">
      <w:pPr>
        <w:spacing w:line="276" w:lineRule="auto"/>
        <w:ind w:firstLine="0"/>
        <w:jc w:val="center"/>
        <w:rPr>
          <w:b/>
        </w:rPr>
      </w:pPr>
    </w:p>
    <w:p w:rsidR="00DC1467" w:rsidRDefault="00DC1467">
      <w:pPr>
        <w:spacing w:line="276" w:lineRule="auto"/>
        <w:ind w:firstLine="0"/>
        <w:jc w:val="center"/>
        <w:rPr>
          <w:b/>
        </w:rPr>
      </w:pPr>
    </w:p>
    <w:p w:rsidR="00DC1467" w:rsidRDefault="00DC1467">
      <w:pPr>
        <w:spacing w:line="276" w:lineRule="auto"/>
        <w:ind w:firstLine="0"/>
        <w:jc w:val="center"/>
        <w:rPr>
          <w:b/>
        </w:rPr>
      </w:pPr>
    </w:p>
    <w:p w:rsidR="00DC1467" w:rsidRDefault="00DC1467">
      <w:pPr>
        <w:spacing w:line="276" w:lineRule="auto"/>
        <w:ind w:firstLine="0"/>
        <w:jc w:val="center"/>
        <w:rPr>
          <w:b/>
        </w:rPr>
      </w:pPr>
    </w:p>
    <w:p w:rsidR="00DC1467" w:rsidRDefault="00DC1467">
      <w:pPr>
        <w:spacing w:line="276" w:lineRule="auto"/>
        <w:ind w:firstLine="0"/>
        <w:jc w:val="center"/>
        <w:rPr>
          <w:b/>
        </w:rPr>
      </w:pPr>
    </w:p>
    <w:p w:rsidR="00DC1467" w:rsidRDefault="00DC1467">
      <w:pPr>
        <w:spacing w:line="276" w:lineRule="auto"/>
        <w:ind w:firstLine="0"/>
        <w:jc w:val="center"/>
        <w:rPr>
          <w:b/>
        </w:rPr>
      </w:pPr>
    </w:p>
    <w:p w:rsidR="00DC1467" w:rsidRDefault="00DC1467">
      <w:pPr>
        <w:spacing w:line="276" w:lineRule="auto"/>
        <w:ind w:firstLine="0"/>
        <w:jc w:val="center"/>
        <w:rPr>
          <w:b/>
        </w:rPr>
      </w:pPr>
    </w:p>
    <w:p w:rsidR="00DC1467" w:rsidRDefault="00DC1467">
      <w:pPr>
        <w:spacing w:line="276" w:lineRule="auto"/>
        <w:ind w:firstLine="0"/>
        <w:jc w:val="center"/>
        <w:rPr>
          <w:b/>
        </w:rPr>
      </w:pPr>
    </w:p>
    <w:p w:rsidR="00DC1467" w:rsidRDefault="00DC1467">
      <w:pPr>
        <w:spacing w:line="276" w:lineRule="auto"/>
        <w:ind w:firstLine="0"/>
        <w:jc w:val="center"/>
        <w:rPr>
          <w:b/>
        </w:rPr>
      </w:pPr>
    </w:p>
    <w:p w:rsidR="00DC1467" w:rsidRDefault="00DC1467">
      <w:pPr>
        <w:spacing w:line="276" w:lineRule="auto"/>
        <w:ind w:firstLine="0"/>
        <w:jc w:val="center"/>
        <w:rPr>
          <w:b/>
        </w:rPr>
      </w:pPr>
    </w:p>
    <w:p w:rsidR="00DC1467" w:rsidRDefault="00B70D3E">
      <w:pPr>
        <w:spacing w:line="276" w:lineRule="auto"/>
        <w:ind w:firstLine="0"/>
        <w:jc w:val="center"/>
      </w:pPr>
      <w:r>
        <w:t>г. Ханты-Мансийск</w:t>
      </w:r>
    </w:p>
    <w:p w:rsidR="00DC1467" w:rsidRDefault="00B70D3E">
      <w:pPr>
        <w:spacing w:line="276" w:lineRule="auto"/>
        <w:ind w:firstLine="0"/>
        <w:jc w:val="center"/>
      </w:pPr>
      <w:r>
        <w:t>2025</w:t>
      </w:r>
    </w:p>
    <w:p w:rsidR="00DC1467" w:rsidRDefault="00DC1467">
      <w:pPr>
        <w:spacing w:line="276" w:lineRule="auto"/>
        <w:ind w:firstLine="0"/>
        <w:jc w:val="center"/>
        <w:rPr>
          <w:b/>
          <w:highlight w:val="yellow"/>
        </w:rPr>
        <w:sectPr w:rsidR="00DC1467">
          <w:footerReference w:type="default" r:id="rId9"/>
          <w:pgSz w:w="11906" w:h="16838"/>
          <w:pgMar w:top="1134" w:right="851" w:bottom="1134" w:left="1701" w:header="709" w:footer="709" w:gutter="0"/>
          <w:cols w:space="708"/>
          <w:titlePg/>
          <w:docGrid w:linePitch="360"/>
        </w:sectPr>
      </w:pPr>
    </w:p>
    <w:p w:rsidR="00DC1467" w:rsidRDefault="00B70D3E">
      <w:pPr>
        <w:spacing w:line="276" w:lineRule="auto"/>
        <w:ind w:firstLine="0"/>
        <w:jc w:val="center"/>
        <w:rPr>
          <w:b/>
        </w:rPr>
      </w:pPr>
      <w:r>
        <w:rPr>
          <w:b/>
        </w:rPr>
        <w:lastRenderedPageBreak/>
        <w:t>ОГЛАВЛЕНИЕ</w:t>
      </w:r>
    </w:p>
    <w:p w:rsidR="00DC1467" w:rsidRDefault="00DC1467">
      <w:pPr>
        <w:spacing w:line="276" w:lineRule="auto"/>
        <w:jc w:val="center"/>
        <w:rPr>
          <w:b/>
        </w:rPr>
      </w:pPr>
    </w:p>
    <w:tbl>
      <w:tblPr>
        <w:tblStyle w:val="ac"/>
        <w:tblW w:w="0" w:type="auto"/>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ook w:val="04A0" w:firstRow="1" w:lastRow="0" w:firstColumn="1" w:lastColumn="0" w:noHBand="0" w:noVBand="1"/>
      </w:tblPr>
      <w:tblGrid>
        <w:gridCol w:w="8505"/>
        <w:gridCol w:w="839"/>
      </w:tblGrid>
      <w:tr w:rsidR="00DC1467">
        <w:tc>
          <w:tcPr>
            <w:tcW w:w="8505" w:type="dxa"/>
          </w:tcPr>
          <w:p w:rsidR="00DC1467" w:rsidRDefault="00B70D3E">
            <w:pPr>
              <w:spacing w:before="120" w:line="276" w:lineRule="auto"/>
              <w:ind w:firstLine="0"/>
              <w:jc w:val="left"/>
              <w:rPr>
                <w:b/>
              </w:rPr>
            </w:pPr>
            <w:r>
              <w:t>ВВЕДЕНИЕ</w:t>
            </w:r>
          </w:p>
        </w:tc>
        <w:tc>
          <w:tcPr>
            <w:tcW w:w="839" w:type="dxa"/>
          </w:tcPr>
          <w:p w:rsidR="00DC1467" w:rsidRDefault="00B70D3E">
            <w:pPr>
              <w:spacing w:before="120" w:line="276" w:lineRule="auto"/>
              <w:ind w:firstLine="0"/>
              <w:jc w:val="right"/>
            </w:pPr>
            <w:r>
              <w:t>3</w:t>
            </w:r>
          </w:p>
        </w:tc>
      </w:tr>
      <w:tr w:rsidR="00DC1467">
        <w:tc>
          <w:tcPr>
            <w:tcW w:w="8505" w:type="dxa"/>
          </w:tcPr>
          <w:p w:rsidR="00DC1467" w:rsidRDefault="00B70D3E">
            <w:pPr>
              <w:spacing w:before="120" w:line="276" w:lineRule="auto"/>
              <w:ind w:firstLine="0"/>
            </w:pPr>
            <w:r>
              <w:t>1. Характеристика Ханты-Мансийского автономного округа – Югры</w:t>
            </w:r>
          </w:p>
        </w:tc>
        <w:tc>
          <w:tcPr>
            <w:tcW w:w="839" w:type="dxa"/>
          </w:tcPr>
          <w:p w:rsidR="00DC1467" w:rsidRDefault="00B70D3E">
            <w:pPr>
              <w:spacing w:before="120" w:line="276" w:lineRule="auto"/>
              <w:ind w:firstLine="0"/>
              <w:jc w:val="right"/>
            </w:pPr>
            <w:r>
              <w:t>4</w:t>
            </w:r>
          </w:p>
        </w:tc>
      </w:tr>
      <w:tr w:rsidR="00DC1467">
        <w:tc>
          <w:tcPr>
            <w:tcW w:w="8505" w:type="dxa"/>
          </w:tcPr>
          <w:p w:rsidR="00DC1467" w:rsidRDefault="00B70D3E">
            <w:pPr>
              <w:spacing w:before="120" w:line="276" w:lineRule="auto"/>
              <w:ind w:firstLine="0"/>
            </w:pPr>
            <w:r>
              <w:t xml:space="preserve">2. Анализ уровня и структуры потребления наркотиков </w:t>
            </w:r>
            <w:r>
              <w:br/>
              <w:t>в немедицинских целях на основании статистических данных, аналитических справок и социологических исследований</w:t>
            </w:r>
          </w:p>
        </w:tc>
        <w:tc>
          <w:tcPr>
            <w:tcW w:w="839" w:type="dxa"/>
          </w:tcPr>
          <w:p w:rsidR="00DC1467" w:rsidRDefault="00B70D3E">
            <w:pPr>
              <w:spacing w:before="120" w:line="276" w:lineRule="auto"/>
              <w:ind w:firstLine="0"/>
              <w:jc w:val="right"/>
            </w:pPr>
            <w:r>
              <w:t>20</w:t>
            </w:r>
          </w:p>
        </w:tc>
      </w:tr>
      <w:tr w:rsidR="00DC1467">
        <w:tc>
          <w:tcPr>
            <w:tcW w:w="8505" w:type="dxa"/>
          </w:tcPr>
          <w:p w:rsidR="00DC1467" w:rsidRDefault="00B70D3E">
            <w:pPr>
              <w:spacing w:before="120" w:line="276" w:lineRule="auto"/>
              <w:ind w:firstLine="0"/>
              <w:outlineLvl w:val="1"/>
            </w:pPr>
            <w:r>
              <w:t>3. Оценка состояния и доступности наркологической медицинской помощи, реабилитации и рес</w:t>
            </w:r>
            <w:r>
              <w:t xml:space="preserve">оциализации лиц, допускающих потребление наркотиков в немедицинских целях </w:t>
            </w:r>
          </w:p>
        </w:tc>
        <w:tc>
          <w:tcPr>
            <w:tcW w:w="839" w:type="dxa"/>
          </w:tcPr>
          <w:p w:rsidR="00DC1467" w:rsidRDefault="00B70D3E">
            <w:pPr>
              <w:spacing w:before="120" w:line="276" w:lineRule="auto"/>
              <w:ind w:firstLine="0"/>
              <w:jc w:val="right"/>
            </w:pPr>
            <w:r>
              <w:t>68</w:t>
            </w:r>
          </w:p>
        </w:tc>
      </w:tr>
      <w:tr w:rsidR="00DC1467">
        <w:tc>
          <w:tcPr>
            <w:tcW w:w="8505" w:type="dxa"/>
          </w:tcPr>
          <w:p w:rsidR="00DC1467" w:rsidRDefault="00B70D3E">
            <w:pPr>
              <w:spacing w:before="120" w:line="276" w:lineRule="auto"/>
              <w:ind w:firstLine="0"/>
              <w:outlineLvl w:val="1"/>
            </w:pPr>
            <w:r>
              <w:t>4. Анализ, оценка и динамика результатов деятельности в сфере профилактики потребления наркотиков в немедицинских целях</w:t>
            </w:r>
          </w:p>
        </w:tc>
        <w:tc>
          <w:tcPr>
            <w:tcW w:w="839" w:type="dxa"/>
          </w:tcPr>
          <w:p w:rsidR="00DC1467" w:rsidRDefault="00B70D3E">
            <w:pPr>
              <w:spacing w:before="120" w:line="276" w:lineRule="auto"/>
              <w:ind w:firstLine="0"/>
              <w:jc w:val="right"/>
            </w:pPr>
            <w:r>
              <w:t>78</w:t>
            </w:r>
          </w:p>
        </w:tc>
      </w:tr>
      <w:tr w:rsidR="00DC1467">
        <w:tc>
          <w:tcPr>
            <w:tcW w:w="8505" w:type="dxa"/>
          </w:tcPr>
          <w:p w:rsidR="00DC1467" w:rsidRDefault="00B70D3E">
            <w:pPr>
              <w:spacing w:before="120" w:line="276" w:lineRule="auto"/>
              <w:ind w:firstLine="0"/>
              <w:outlineLvl w:val="1"/>
            </w:pPr>
            <w:r>
              <w:t>5. Анализ, оценка и динамика ситуации в сфере противо</w:t>
            </w:r>
            <w:r>
              <w:t>действия незаконному обороту наркотиков</w:t>
            </w:r>
          </w:p>
        </w:tc>
        <w:tc>
          <w:tcPr>
            <w:tcW w:w="839" w:type="dxa"/>
          </w:tcPr>
          <w:p w:rsidR="00DC1467" w:rsidRDefault="00B70D3E">
            <w:pPr>
              <w:spacing w:before="120" w:line="276" w:lineRule="auto"/>
              <w:ind w:firstLine="0"/>
              <w:jc w:val="right"/>
            </w:pPr>
            <w:r>
              <w:t>94</w:t>
            </w:r>
          </w:p>
        </w:tc>
      </w:tr>
      <w:tr w:rsidR="00DC1467">
        <w:tc>
          <w:tcPr>
            <w:tcW w:w="8505" w:type="dxa"/>
          </w:tcPr>
          <w:p w:rsidR="00DC1467" w:rsidRDefault="00B70D3E">
            <w:pPr>
              <w:spacing w:before="120" w:line="276" w:lineRule="auto"/>
              <w:ind w:firstLine="0"/>
              <w:outlineLvl w:val="1"/>
            </w:pPr>
            <w:r>
              <w:t>6. Оценка результатов реализации государственных программ (подпрограмм) Ханты-Мансийского автономного округа – Югры, в рамках которых осуществляются антинаркотические мероприятия</w:t>
            </w:r>
          </w:p>
        </w:tc>
        <w:tc>
          <w:tcPr>
            <w:tcW w:w="839" w:type="dxa"/>
          </w:tcPr>
          <w:p w:rsidR="00DC1467" w:rsidRDefault="00B70D3E">
            <w:pPr>
              <w:spacing w:before="120" w:line="276" w:lineRule="auto"/>
              <w:ind w:firstLine="0"/>
              <w:jc w:val="right"/>
            </w:pPr>
            <w:r>
              <w:t>112</w:t>
            </w:r>
          </w:p>
        </w:tc>
      </w:tr>
      <w:tr w:rsidR="00DC1467">
        <w:tc>
          <w:tcPr>
            <w:tcW w:w="8505" w:type="dxa"/>
          </w:tcPr>
          <w:p w:rsidR="00DC1467" w:rsidRDefault="00B70D3E">
            <w:pPr>
              <w:spacing w:before="120" w:line="276" w:lineRule="auto"/>
              <w:ind w:firstLine="0"/>
              <w:outlineLvl w:val="1"/>
            </w:pPr>
            <w:r>
              <w:t>7. Информация о ходе исполнения перечня приоритетных направлений (плана мероприятий) реализации Стратегии государственной антинаркотической политики Российской Федерации на период до 2030 года</w:t>
            </w:r>
          </w:p>
        </w:tc>
        <w:tc>
          <w:tcPr>
            <w:tcW w:w="839" w:type="dxa"/>
          </w:tcPr>
          <w:p w:rsidR="00DC1467" w:rsidRDefault="00B70D3E">
            <w:pPr>
              <w:spacing w:before="120" w:line="276" w:lineRule="auto"/>
              <w:ind w:firstLine="0"/>
              <w:jc w:val="right"/>
            </w:pPr>
            <w:r>
              <w:t>124</w:t>
            </w:r>
          </w:p>
        </w:tc>
      </w:tr>
      <w:tr w:rsidR="00DC1467">
        <w:tc>
          <w:tcPr>
            <w:tcW w:w="8505" w:type="dxa"/>
          </w:tcPr>
          <w:p w:rsidR="00DC1467" w:rsidRDefault="00B70D3E">
            <w:pPr>
              <w:spacing w:before="120" w:line="276" w:lineRule="auto"/>
              <w:ind w:firstLine="0"/>
              <w:outlineLvl w:val="1"/>
            </w:pPr>
            <w:r>
              <w:t>8. Предварительная оценка состояния наркоситуации в автоно</w:t>
            </w:r>
            <w:r>
              <w:t>мном округе в соответствии с Критериями оценки развития наркоситуации в Ханты-Мансийском автономном округе – Югре (в разрезе муниципальных образований)</w:t>
            </w:r>
          </w:p>
        </w:tc>
        <w:tc>
          <w:tcPr>
            <w:tcW w:w="839" w:type="dxa"/>
          </w:tcPr>
          <w:p w:rsidR="00DC1467" w:rsidRDefault="00B70D3E">
            <w:pPr>
              <w:spacing w:before="120" w:line="276" w:lineRule="auto"/>
              <w:ind w:firstLine="0"/>
              <w:jc w:val="right"/>
            </w:pPr>
            <w:r>
              <w:t>141</w:t>
            </w:r>
          </w:p>
        </w:tc>
      </w:tr>
      <w:tr w:rsidR="00DC1467">
        <w:tc>
          <w:tcPr>
            <w:tcW w:w="8505" w:type="dxa"/>
          </w:tcPr>
          <w:p w:rsidR="00DC1467" w:rsidRDefault="00B70D3E">
            <w:pPr>
              <w:spacing w:before="120" w:line="276" w:lineRule="auto"/>
              <w:ind w:firstLine="0"/>
              <w:outlineLvl w:val="1"/>
            </w:pPr>
            <w:r>
              <w:t>9. Краткосрочное (1 год) прогнозирование развития наркоситуации</w:t>
            </w:r>
          </w:p>
        </w:tc>
        <w:tc>
          <w:tcPr>
            <w:tcW w:w="839" w:type="dxa"/>
          </w:tcPr>
          <w:p w:rsidR="00DC1467" w:rsidRDefault="00B70D3E">
            <w:pPr>
              <w:spacing w:before="120" w:line="276" w:lineRule="auto"/>
              <w:ind w:firstLine="0"/>
              <w:jc w:val="right"/>
            </w:pPr>
            <w:r>
              <w:t>156</w:t>
            </w:r>
          </w:p>
        </w:tc>
      </w:tr>
      <w:tr w:rsidR="00DC1467">
        <w:tc>
          <w:tcPr>
            <w:tcW w:w="8505" w:type="dxa"/>
          </w:tcPr>
          <w:p w:rsidR="00DC1467" w:rsidRDefault="00B70D3E">
            <w:pPr>
              <w:pStyle w:val="ConsPlusNormal"/>
              <w:spacing w:before="120" w:line="276" w:lineRule="auto"/>
              <w:ind w:firstLine="0"/>
              <w:jc w:val="both"/>
              <w:rPr>
                <w:rFonts w:ascii="Times New Roman" w:hAnsi="Times New Roman" w:cs="Times New Roman"/>
                <w:sz w:val="28"/>
                <w:szCs w:val="28"/>
              </w:rPr>
            </w:pPr>
            <w:r>
              <w:rPr>
                <w:rFonts w:ascii="Times New Roman" w:hAnsi="Times New Roman" w:cs="Times New Roman"/>
                <w:sz w:val="28"/>
                <w:szCs w:val="28"/>
              </w:rPr>
              <w:t>10. Проекты управленческих решений и предложения по оздоровлению наркоситуации в Ханты-Мансийском автономном округе – Югре и в Российской Федерации в целом</w:t>
            </w:r>
          </w:p>
        </w:tc>
        <w:tc>
          <w:tcPr>
            <w:tcW w:w="839" w:type="dxa"/>
          </w:tcPr>
          <w:p w:rsidR="00DC1467" w:rsidRDefault="00B70D3E">
            <w:pPr>
              <w:spacing w:before="120" w:line="276" w:lineRule="auto"/>
              <w:ind w:firstLine="0"/>
              <w:jc w:val="right"/>
            </w:pPr>
            <w:r>
              <w:t>160</w:t>
            </w:r>
          </w:p>
        </w:tc>
      </w:tr>
      <w:tr w:rsidR="00DC1467">
        <w:tc>
          <w:tcPr>
            <w:tcW w:w="8505" w:type="dxa"/>
          </w:tcPr>
          <w:p w:rsidR="00DC1467" w:rsidRDefault="00B70D3E">
            <w:pPr>
              <w:pStyle w:val="ConsPlusNormal"/>
              <w:spacing w:before="120" w:line="276" w:lineRule="auto"/>
              <w:ind w:firstLine="0"/>
              <w:jc w:val="both"/>
              <w:rPr>
                <w:rFonts w:ascii="Times New Roman" w:hAnsi="Times New Roman" w:cs="Times New Roman"/>
                <w:sz w:val="28"/>
                <w:szCs w:val="28"/>
              </w:rPr>
            </w:pPr>
            <w:r>
              <w:rPr>
                <w:rFonts w:ascii="Times New Roman" w:hAnsi="Times New Roman" w:cs="Times New Roman"/>
                <w:sz w:val="28"/>
                <w:szCs w:val="28"/>
              </w:rPr>
              <w:t xml:space="preserve">ПРИЛОЖЕНИЯ 1-38 </w:t>
            </w:r>
          </w:p>
        </w:tc>
        <w:tc>
          <w:tcPr>
            <w:tcW w:w="839" w:type="dxa"/>
          </w:tcPr>
          <w:p w:rsidR="00DC1467" w:rsidRDefault="00B70D3E">
            <w:pPr>
              <w:spacing w:before="120" w:line="276" w:lineRule="auto"/>
              <w:ind w:firstLine="0"/>
              <w:jc w:val="right"/>
            </w:pPr>
            <w:r>
              <w:t>в эл. виде</w:t>
            </w:r>
          </w:p>
        </w:tc>
      </w:tr>
    </w:tbl>
    <w:p w:rsidR="00DC1467" w:rsidRDefault="00DC1467">
      <w:pPr>
        <w:spacing w:line="276" w:lineRule="auto"/>
        <w:jc w:val="center"/>
        <w:rPr>
          <w:highlight w:val="yellow"/>
        </w:rPr>
      </w:pPr>
    </w:p>
    <w:p w:rsidR="00DC1467" w:rsidRDefault="00DC1467">
      <w:pPr>
        <w:spacing w:line="276" w:lineRule="auto"/>
        <w:jc w:val="center"/>
        <w:rPr>
          <w:highlight w:val="yellow"/>
        </w:rPr>
        <w:sectPr w:rsidR="00DC1467">
          <w:pgSz w:w="11906" w:h="16838"/>
          <w:pgMar w:top="1134" w:right="851" w:bottom="1134" w:left="1701" w:header="709" w:footer="709" w:gutter="0"/>
          <w:cols w:space="708"/>
          <w:docGrid w:linePitch="360"/>
        </w:sectPr>
      </w:pPr>
    </w:p>
    <w:p w:rsidR="00DC1467" w:rsidRDefault="00DC1467">
      <w:pPr>
        <w:spacing w:line="276" w:lineRule="auto"/>
        <w:ind w:firstLine="0"/>
        <w:jc w:val="left"/>
        <w:rPr>
          <w:highlight w:val="yellow"/>
        </w:rPr>
      </w:pPr>
    </w:p>
    <w:p w:rsidR="00DC1467" w:rsidRDefault="00B70D3E">
      <w:pPr>
        <w:spacing w:line="276" w:lineRule="auto"/>
        <w:ind w:firstLine="0"/>
        <w:jc w:val="center"/>
      </w:pPr>
      <w:r>
        <w:t>ВВЕДЕНИЕ</w:t>
      </w:r>
    </w:p>
    <w:p w:rsidR="00DC1467" w:rsidRDefault="00DC1467">
      <w:pPr>
        <w:spacing w:line="276" w:lineRule="auto"/>
        <w:ind w:firstLine="0"/>
        <w:jc w:val="center"/>
        <w:rPr>
          <w:b/>
        </w:rPr>
      </w:pPr>
    </w:p>
    <w:p w:rsidR="00DC1467" w:rsidRDefault="00B70D3E">
      <w:pPr>
        <w:spacing w:line="276" w:lineRule="auto"/>
        <w:ind w:firstLine="709"/>
        <w:rPr>
          <w:rFonts w:eastAsia="Calibri"/>
          <w:color w:val="2D2D2D"/>
          <w:spacing w:val="2"/>
        </w:rPr>
      </w:pPr>
      <w:r>
        <w:rPr>
          <w:rFonts w:eastAsia="Calibri"/>
          <w:color w:val="000000"/>
        </w:rPr>
        <w:t xml:space="preserve">В соответствии со </w:t>
      </w:r>
      <w:r>
        <w:t>Стратегией государственной антинаркотической политики Российской Федерации до 2030 года</w:t>
      </w:r>
      <w:r>
        <w:rPr>
          <w:rFonts w:eastAsia="Calibri"/>
          <w:color w:val="000000"/>
        </w:rPr>
        <w:t xml:space="preserve">, утвержденной Указом Президента Российской Федерации от 23 ноября 2020 г. № 733, </w:t>
      </w:r>
      <w:r>
        <w:rPr>
          <w:color w:val="000000"/>
          <w:spacing w:val="2"/>
          <w:shd w:val="clear" w:color="auto" w:fill="FFFFFF"/>
        </w:rPr>
        <w:t>создана и функционирует на постоянной основе государственная система мониторинга наркос</w:t>
      </w:r>
      <w:r>
        <w:rPr>
          <w:color w:val="000000"/>
          <w:spacing w:val="2"/>
          <w:shd w:val="clear" w:color="auto" w:fill="FFFFFF"/>
        </w:rPr>
        <w:t xml:space="preserve">итуации в Российской Федерации. </w:t>
      </w:r>
    </w:p>
    <w:p w:rsidR="00DC1467" w:rsidRDefault="00B70D3E">
      <w:pPr>
        <w:spacing w:line="276" w:lineRule="auto"/>
        <w:ind w:firstLine="709"/>
        <w:rPr>
          <w:rFonts w:eastAsia="Calibri"/>
          <w:color w:val="000000"/>
        </w:rPr>
      </w:pPr>
      <w:r>
        <w:rPr>
          <w:rFonts w:eastAsia="Calibri"/>
          <w:color w:val="000000"/>
        </w:rPr>
        <w:t>В соответствии с Методикой и порядком осуществления мониторинга, а также критериями оценки развития наркоситуации</w:t>
      </w:r>
      <w:r>
        <w:rPr>
          <w:rFonts w:eastAsia="Calibri"/>
          <w:color w:val="000000"/>
        </w:rPr>
        <w:t xml:space="preserve"> в Российской Федерации и ее субъектах, утвержденной подпунктом 4.3 решения Государственного антинаркотического комитета (протокол от 25 июня </w:t>
      </w:r>
      <w:r>
        <w:rPr>
          <w:rFonts w:eastAsia="Calibri"/>
          <w:color w:val="000000"/>
        </w:rPr>
        <w:br/>
        <w:t>2021 г. № 48, с изменениями и дополнениями от 26 декабря 2022 г. (протокол № 51), в Ханты-Мансийском автономном о</w:t>
      </w:r>
      <w:r>
        <w:rPr>
          <w:rFonts w:eastAsia="Calibri"/>
          <w:color w:val="000000"/>
        </w:rPr>
        <w:t xml:space="preserve">круге – Югре </w:t>
      </w:r>
      <w:r>
        <w:rPr>
          <w:rFonts w:eastAsia="Calibri"/>
        </w:rPr>
        <w:t>(далее также – автономный округ, округ, ХМАО – Югра, Югра)</w:t>
      </w:r>
      <w:r>
        <w:rPr>
          <w:rFonts w:eastAsia="Calibri"/>
          <w:color w:val="000000"/>
        </w:rPr>
        <w:t xml:space="preserve"> проводится мониторинг наркоситуации. </w:t>
      </w:r>
    </w:p>
    <w:p w:rsidR="00DC1467" w:rsidRDefault="00B70D3E">
      <w:pPr>
        <w:spacing w:line="276" w:lineRule="auto"/>
        <w:ind w:firstLine="709"/>
        <w:rPr>
          <w:rFonts w:eastAsia="Calibri"/>
          <w:color w:val="000000"/>
        </w:rPr>
      </w:pPr>
      <w:r>
        <w:rPr>
          <w:rFonts w:eastAsia="Calibri"/>
          <w:color w:val="000000"/>
        </w:rPr>
        <w:t xml:space="preserve">Мониторинг осуществляется в целях: </w:t>
      </w:r>
    </w:p>
    <w:p w:rsidR="00DC1467" w:rsidRDefault="00B70D3E">
      <w:pPr>
        <w:spacing w:line="276" w:lineRule="auto"/>
        <w:ind w:firstLine="709"/>
        <w:rPr>
          <w:rFonts w:eastAsia="Calibri"/>
          <w:color w:val="000000"/>
        </w:rPr>
      </w:pPr>
      <w:r>
        <w:rPr>
          <w:rFonts w:eastAsia="Calibri"/>
          <w:color w:val="000000"/>
        </w:rPr>
        <w:t xml:space="preserve">определения состояния наркоситуации в автономном округе и масштабов незаконного распространения и потребления </w:t>
      </w:r>
      <w:r>
        <w:rPr>
          <w:rFonts w:eastAsia="Calibri"/>
          <w:color w:val="000000"/>
        </w:rPr>
        <w:t>наркотиков;</w:t>
      </w:r>
    </w:p>
    <w:p w:rsidR="00DC1467" w:rsidRDefault="00B70D3E">
      <w:pPr>
        <w:spacing w:line="276" w:lineRule="auto"/>
        <w:ind w:firstLine="709"/>
        <w:rPr>
          <w:rFonts w:eastAsia="Calibri"/>
          <w:color w:val="000000"/>
        </w:rPr>
      </w:pPr>
      <w:r>
        <w:rPr>
          <w:rFonts w:eastAsia="Calibri"/>
          <w:color w:val="000000"/>
        </w:rPr>
        <w:t>выявления, прогнозирования и оценки угроз национальной безопасности, связанных с незаконным оборотом наркотиков и их прекурсоров;</w:t>
      </w:r>
    </w:p>
    <w:p w:rsidR="00DC1467" w:rsidRDefault="00B70D3E">
      <w:pPr>
        <w:spacing w:line="276" w:lineRule="auto"/>
        <w:ind w:firstLine="709"/>
        <w:rPr>
          <w:rFonts w:eastAsia="Calibri"/>
          <w:color w:val="000000"/>
        </w:rPr>
      </w:pPr>
      <w:r>
        <w:rPr>
          <w:rFonts w:eastAsia="Calibri"/>
          <w:color w:val="000000"/>
        </w:rPr>
        <w:t>оценки эффективности проводимой в автономном округе антинаркотической политики и формирования предложений по ее оп</w:t>
      </w:r>
      <w:r>
        <w:rPr>
          <w:rFonts w:eastAsia="Calibri"/>
          <w:color w:val="000000"/>
        </w:rPr>
        <w:t>тимизации.</w:t>
      </w:r>
    </w:p>
    <w:p w:rsidR="00DC1467" w:rsidRDefault="00B70D3E">
      <w:pPr>
        <w:spacing w:line="276" w:lineRule="auto"/>
        <w:ind w:firstLine="709"/>
        <w:rPr>
          <w:rFonts w:eastAsia="Calibri"/>
          <w:color w:val="000000"/>
        </w:rPr>
      </w:pPr>
      <w:r>
        <w:rPr>
          <w:rFonts w:eastAsia="Calibri"/>
          <w:color w:val="000000"/>
        </w:rPr>
        <w:t>Мониторинг позволяет получать актуальную информацию о состоянии процессов и явлений в сфере оборота наркотиков и их прекурсоров, а также в области противодействия их незаконному обороту, профилактики незаконного потребления наркотиков, лечения,</w:t>
      </w:r>
      <w:r>
        <w:rPr>
          <w:rFonts w:eastAsia="Calibri"/>
          <w:color w:val="000000"/>
        </w:rPr>
        <w:t xml:space="preserve"> комплексной̆ реабилитации и ресоциализации лиц, допускающих незаконное потребление наркотиков в немедицинских целях; своевременно выявлять негативные тенденции развития наркоситуации, новые угрозы национальной̆ безопасности, возникающие вследствие незакон</w:t>
      </w:r>
      <w:r>
        <w:rPr>
          <w:rFonts w:eastAsia="Calibri"/>
          <w:color w:val="000000"/>
        </w:rPr>
        <w:t xml:space="preserve">ного оборота наркотиков; прогнозировать развития наркоситуации и вырабатывать предложения по ее улучшению. </w:t>
      </w:r>
    </w:p>
    <w:p w:rsidR="00DC1467" w:rsidRDefault="00DC1467">
      <w:pPr>
        <w:spacing w:line="276" w:lineRule="auto"/>
        <w:ind w:firstLine="709"/>
        <w:rPr>
          <w:rFonts w:eastAsia="Calibri"/>
          <w:b/>
          <w:color w:val="000000"/>
        </w:rPr>
      </w:pPr>
    </w:p>
    <w:p w:rsidR="00DC1467" w:rsidRDefault="00DC1467">
      <w:pPr>
        <w:spacing w:line="276" w:lineRule="auto"/>
        <w:ind w:firstLine="709"/>
        <w:jc w:val="center"/>
        <w:rPr>
          <w:rFonts w:eastAsia="Calibri"/>
          <w:b/>
          <w:color w:val="000000"/>
        </w:rPr>
      </w:pPr>
    </w:p>
    <w:p w:rsidR="00DC1467" w:rsidRDefault="00DC1467">
      <w:pPr>
        <w:spacing w:line="276" w:lineRule="auto"/>
        <w:ind w:firstLine="709"/>
        <w:jc w:val="center"/>
        <w:rPr>
          <w:rFonts w:eastAsia="Calibri"/>
          <w:b/>
          <w:color w:val="000000"/>
        </w:rPr>
      </w:pPr>
    </w:p>
    <w:p w:rsidR="00DC1467" w:rsidRDefault="00DC1467">
      <w:pPr>
        <w:spacing w:line="276" w:lineRule="auto"/>
        <w:ind w:firstLine="709"/>
        <w:jc w:val="center"/>
        <w:rPr>
          <w:rFonts w:eastAsia="Calibri"/>
          <w:color w:val="000000" w:themeColor="text1"/>
        </w:rPr>
      </w:pPr>
    </w:p>
    <w:p w:rsidR="00DC1467" w:rsidRDefault="00DC1467">
      <w:pPr>
        <w:spacing w:line="276" w:lineRule="auto"/>
        <w:ind w:firstLine="709"/>
        <w:jc w:val="center"/>
        <w:rPr>
          <w:rFonts w:eastAsia="Calibri"/>
          <w:color w:val="000000"/>
        </w:rPr>
        <w:sectPr w:rsidR="00DC1467">
          <w:pgSz w:w="11906" w:h="16838"/>
          <w:pgMar w:top="1134" w:right="851" w:bottom="1134" w:left="1701" w:header="709" w:footer="709" w:gutter="0"/>
          <w:cols w:space="708"/>
          <w:docGrid w:linePitch="360"/>
        </w:sectPr>
      </w:pPr>
    </w:p>
    <w:p w:rsidR="00DC1467" w:rsidRDefault="00B70D3E">
      <w:pPr>
        <w:spacing w:line="276" w:lineRule="auto"/>
        <w:ind w:firstLine="0"/>
        <w:jc w:val="center"/>
        <w:rPr>
          <w:rFonts w:eastAsia="Calibri"/>
          <w:b/>
        </w:rPr>
      </w:pPr>
      <w:r>
        <w:rPr>
          <w:rFonts w:eastAsia="Calibri"/>
          <w:b/>
        </w:rPr>
        <w:lastRenderedPageBreak/>
        <w:t>Доклад</w:t>
      </w:r>
      <w:r>
        <w:rPr>
          <w:rFonts w:eastAsia="Calibri"/>
          <w:b/>
        </w:rPr>
        <w:br/>
        <w:t>о наркоситуации в Ханты-Мансийском</w:t>
      </w:r>
      <w:r>
        <w:rPr>
          <w:rFonts w:eastAsia="Calibri"/>
          <w:b/>
        </w:rPr>
        <w:br/>
        <w:t>автономном округе – Югре в 2024 году</w:t>
      </w:r>
    </w:p>
    <w:p w:rsidR="00DC1467" w:rsidRDefault="00DC1467">
      <w:pPr>
        <w:spacing w:line="276" w:lineRule="auto"/>
        <w:ind w:firstLine="709"/>
        <w:jc w:val="center"/>
        <w:rPr>
          <w:b/>
        </w:rPr>
      </w:pPr>
    </w:p>
    <w:p w:rsidR="00DC1467" w:rsidRDefault="00B70D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outlineLvl w:val="1"/>
        <w:rPr>
          <w:b/>
        </w:rPr>
      </w:pPr>
      <w:r>
        <w:rPr>
          <w:b/>
        </w:rPr>
        <w:t>1. </w:t>
      </w:r>
      <w:r>
        <w:rPr>
          <w:b/>
          <w:bCs/>
        </w:rPr>
        <w:t xml:space="preserve">Характеристика Ханты-Мансийского автономного </w:t>
      </w:r>
      <w:r>
        <w:rPr>
          <w:b/>
          <w:bCs/>
        </w:rPr>
        <w:br/>
        <w:t>округа – Югры</w:t>
      </w:r>
      <w:r>
        <w:rPr>
          <w:b/>
        </w:rPr>
        <w:t>.</w:t>
      </w:r>
    </w:p>
    <w:p w:rsidR="00DC1467" w:rsidRDefault="00DC1467">
      <w:pPr>
        <w:spacing w:line="276" w:lineRule="auto"/>
        <w:rPr>
          <w:rFonts w:eastAsia="Calibri"/>
        </w:rPr>
      </w:pPr>
    </w:p>
    <w:p w:rsidR="00DC1467" w:rsidRDefault="00B70D3E">
      <w:pPr>
        <w:spacing w:line="276" w:lineRule="auto"/>
        <w:ind w:firstLine="709"/>
        <w:rPr>
          <w:rFonts w:eastAsia="Calibri"/>
        </w:rPr>
      </w:pPr>
      <w:r>
        <w:rPr>
          <w:rFonts w:eastAsia="Calibri"/>
        </w:rPr>
        <w:t xml:space="preserve">Ханты-Мансийский автономный округ – Югра расположен в срединной части России. Он занимает центральную часть Западно-Сибирской равнины. На севере округ граничит с Ямало-Ненецким автономным округом, на северо-западе – с Республикой Коми, на </w:t>
      </w:r>
      <w:r>
        <w:rPr>
          <w:rFonts w:eastAsia="Calibri"/>
        </w:rPr>
        <w:t>юго-западе со Свердловской областью, на юге – с Тобольским и Уватским районами Тюменской области, на юго-востоке и востоке – с Томской областью и Красноярским краем.</w:t>
      </w:r>
    </w:p>
    <w:p w:rsidR="00DC1467" w:rsidRDefault="00B70D3E">
      <w:pPr>
        <w:spacing w:line="276" w:lineRule="auto"/>
        <w:ind w:firstLine="709"/>
        <w:rPr>
          <w:rFonts w:eastAsia="Calibri"/>
        </w:rPr>
      </w:pPr>
      <w:r>
        <w:rPr>
          <w:rFonts w:eastAsia="Calibri"/>
        </w:rPr>
        <w:t>Ханты-Мансийский автономный округ – Югра входит в состав Уральского федерального округа. Б</w:t>
      </w:r>
      <w:r>
        <w:rPr>
          <w:rFonts w:eastAsia="Calibri"/>
        </w:rPr>
        <w:t xml:space="preserve">елоярский и Березовский муниципальные районы входят в Арктическую зону Российской Федерации. Административный центр округа – город Ханты-Мансийск. Площадь </w:t>
      </w:r>
      <w:r>
        <w:rPr>
          <w:rFonts w:eastAsia="Calibri"/>
        </w:rPr>
        <w:br/>
        <w:t>Ханты-Мансийского автономного округа – Югры составляет 534,8 тыс. кв. километров (9-е место в России</w:t>
      </w:r>
      <w:r>
        <w:rPr>
          <w:rFonts w:eastAsia="Calibri"/>
        </w:rPr>
        <w:t>). С юга на север он простирается на 900 километров, с запада на восток – на 1400 километров. Из городов самым большим по численности населения по состоянию на начало 2024 года является Сургут – 420,3 тыс. человек, из районов – Сургутский – 130,0 тыс. чело</w:t>
      </w:r>
      <w:r>
        <w:rPr>
          <w:rFonts w:eastAsia="Calibri"/>
        </w:rPr>
        <w:t xml:space="preserve">век. По площади территории первые места занимают Нижневартовский – 21,9 %, Сургутский – 19,7 %, Березовский районы – </w:t>
      </w:r>
      <w:r>
        <w:rPr>
          <w:rFonts w:eastAsia="Calibri"/>
        </w:rPr>
        <w:br/>
        <w:t xml:space="preserve">16,5 %. </w:t>
      </w:r>
    </w:p>
    <w:p w:rsidR="00DC1467" w:rsidRDefault="00B70D3E">
      <w:pPr>
        <w:spacing w:line="276" w:lineRule="auto"/>
        <w:ind w:firstLine="709"/>
        <w:rPr>
          <w:rFonts w:eastAsia="Calibri"/>
        </w:rPr>
      </w:pPr>
      <w:r>
        <w:rPr>
          <w:rFonts w:eastAsia="Calibri"/>
        </w:rPr>
        <w:t>Количество муниципальных образований – 105, в том числе: 13 городских округов (Когалым, Лангепас, Мегион, Нефтеюганск, Нижневарто</w:t>
      </w:r>
      <w:r>
        <w:rPr>
          <w:rFonts w:eastAsia="Calibri"/>
        </w:rPr>
        <w:t xml:space="preserve">вск, Нягань, Покачи, Пыть-Ях, Радужный, Сургут, Урай, </w:t>
      </w:r>
      <w:r>
        <w:rPr>
          <w:rFonts w:eastAsia="Calibri"/>
        </w:rPr>
        <w:br/>
        <w:t xml:space="preserve">Ханты-Мансийск, Югорск); 9 муниципальных районов (Белоярский, Березовский, Кондинский, Нефтеюганский, Нижневартовский, Октябрьский, Советский, Сургутский, Ханты-Мансийский); 26 городских и 57 сельских </w:t>
      </w:r>
      <w:r>
        <w:rPr>
          <w:rFonts w:eastAsia="Calibri"/>
        </w:rPr>
        <w:t>поселений.</w:t>
      </w:r>
    </w:p>
    <w:p w:rsidR="00DC1467" w:rsidRDefault="00B70D3E">
      <w:pPr>
        <w:spacing w:line="276" w:lineRule="auto"/>
        <w:ind w:firstLine="709"/>
        <w:rPr>
          <w:rFonts w:eastAsia="Calibri"/>
        </w:rPr>
      </w:pPr>
      <w:r>
        <w:rPr>
          <w:rFonts w:eastAsia="Calibri"/>
        </w:rPr>
        <w:t>По своим социально-экономическим и демографическим показателям за 2024 год Югра заняла 5-е место в Итоговом рейтинге регионов Российской Федерации</w:t>
      </w:r>
      <w:r>
        <w:rPr>
          <w:rFonts w:eastAsia="Calibri"/>
          <w:highlight w:val="white"/>
        </w:rPr>
        <w:t xml:space="preserve"> (далее также – </w:t>
      </w:r>
      <w:r>
        <w:rPr>
          <w:rFonts w:eastAsia="Calibri"/>
        </w:rPr>
        <w:t>РФ) Рейтингового агентства ООО «РИА Рейтинг».</w:t>
      </w:r>
    </w:p>
    <w:p w:rsidR="00DC1467" w:rsidRDefault="00B70D3E">
      <w:pPr>
        <w:spacing w:line="276" w:lineRule="auto"/>
        <w:ind w:firstLine="709"/>
        <w:rPr>
          <w:rFonts w:eastAsia="Calibri"/>
        </w:rPr>
      </w:pPr>
      <w:r>
        <w:rPr>
          <w:rFonts w:eastAsia="Calibri"/>
        </w:rPr>
        <w:t xml:space="preserve">По оценке </w:t>
      </w:r>
      <w:r>
        <w:rPr>
          <w:rFonts w:eastAsia="Calibri"/>
          <w:i/>
        </w:rPr>
        <w:t>Федеральной службы государственной статистики,</w:t>
      </w:r>
      <w:r>
        <w:rPr>
          <w:rFonts w:eastAsia="Calibri"/>
        </w:rPr>
        <w:t xml:space="preserve"> </w:t>
      </w:r>
      <w:r>
        <w:rPr>
          <w:rFonts w:eastAsia="Calibri"/>
        </w:rPr>
        <w:br/>
      </w:r>
      <w:r>
        <w:rPr>
          <w:rFonts w:eastAsia="Calibri"/>
          <w:highlight w:val="white"/>
        </w:rPr>
        <w:t>на 1 января 2024 года</w:t>
      </w:r>
      <w:r>
        <w:rPr>
          <w:rFonts w:eastAsia="Calibri"/>
        </w:rPr>
        <w:t xml:space="preserve"> </w:t>
      </w:r>
      <w:r>
        <w:rPr>
          <w:rFonts w:eastAsia="Calibri"/>
          <w:b/>
          <w:i/>
        </w:rPr>
        <w:t>численность постоянного населения</w:t>
      </w:r>
      <w:r>
        <w:rPr>
          <w:rFonts w:eastAsia="Calibri"/>
        </w:rPr>
        <w:t xml:space="preserve"> автономного округа составила 1759,4 тыс. человек и по сравнению с аналогичной датой </w:t>
      </w:r>
      <w:r>
        <w:rPr>
          <w:rFonts w:eastAsia="Calibri"/>
        </w:rPr>
        <w:lastRenderedPageBreak/>
        <w:t>2023 года увеличилась на 29,0 тыс. человек (на 1 января 2023 года чи</w:t>
      </w:r>
      <w:r>
        <w:rPr>
          <w:rFonts w:eastAsia="Calibri"/>
        </w:rPr>
        <w:t xml:space="preserve">сленность составляла 1730,3 тыс. человек, на 1 января 2022 года – 1713,8 тыс. человек). </w:t>
      </w:r>
    </w:p>
    <w:p w:rsidR="00DC1467" w:rsidRDefault="00B70D3E">
      <w:pPr>
        <w:spacing w:line="276" w:lineRule="auto"/>
        <w:ind w:firstLine="709"/>
        <w:contextualSpacing/>
        <w:rPr>
          <w:rFonts w:eastAsia="Calibri"/>
        </w:rPr>
      </w:pPr>
      <w:r>
        <w:rPr>
          <w:rFonts w:eastAsia="Calibri"/>
        </w:rPr>
        <w:t xml:space="preserve">Естественный прирост населения </w:t>
      </w:r>
      <w:r>
        <w:rPr>
          <w:rFonts w:eastAsia="Calibri"/>
          <w:highlight w:val="white"/>
        </w:rPr>
        <w:t>за 2023 год</w:t>
      </w:r>
      <w:r>
        <w:rPr>
          <w:rFonts w:eastAsia="Calibri"/>
        </w:rPr>
        <w:t xml:space="preserve"> составил </w:t>
      </w:r>
      <w:r>
        <w:t xml:space="preserve">21,0 тыс. человек (за 2022 год – 7,9 тыс. человек, за 2021 год – 5,3 </w:t>
      </w:r>
      <w:r>
        <w:rPr>
          <w:rFonts w:eastAsia="Calibri"/>
        </w:rPr>
        <w:t xml:space="preserve">тыс. человек). </w:t>
      </w:r>
      <w:r>
        <w:rPr>
          <w:rFonts w:eastAsia="Calibri"/>
          <w:highlight w:val="white"/>
        </w:rPr>
        <w:t xml:space="preserve">По итогам 2023 года </w:t>
      </w:r>
      <w:r>
        <w:t>Югра заняла 6-ю позицию среди субъектов Российской Федерации по коэффициенту естественного прироста</w:t>
      </w:r>
      <w:r>
        <w:rPr>
          <w:rFonts w:eastAsia="Calibri"/>
        </w:rPr>
        <w:t xml:space="preserve"> (показатель 4,6 на 1000 человек населения, по РФ – снижение на 3,5 </w:t>
      </w:r>
      <w:r>
        <w:rPr>
          <w:rFonts w:eastAsia="Calibri"/>
          <w:color w:val="000000"/>
        </w:rPr>
        <w:t>промилле</w:t>
      </w:r>
      <w:r>
        <w:rPr>
          <w:rFonts w:eastAsia="Calibri"/>
        </w:rPr>
        <w:t>). По коэффициенту рождаемости округ занял 11-е место – 11,0 на 1000 человек насе</w:t>
      </w:r>
      <w:r>
        <w:rPr>
          <w:rFonts w:eastAsia="Calibri"/>
        </w:rPr>
        <w:t xml:space="preserve">ления (в РФ этот показатель составил 8,6 </w:t>
      </w:r>
      <w:r>
        <w:rPr>
          <w:rFonts w:eastAsia="Calibri"/>
          <w:color w:val="000000"/>
        </w:rPr>
        <w:t>промилле</w:t>
      </w:r>
      <w:r>
        <w:rPr>
          <w:rFonts w:eastAsia="Calibri"/>
        </w:rPr>
        <w:t xml:space="preserve">); 5 место по коэффициенту смертности – 6,2 на 1000 человек населения (РФ – 12,1 </w:t>
      </w:r>
      <w:r>
        <w:rPr>
          <w:rFonts w:eastAsia="Calibri"/>
          <w:color w:val="000000"/>
        </w:rPr>
        <w:t>промилле</w:t>
      </w:r>
      <w:r>
        <w:rPr>
          <w:rFonts w:eastAsia="Calibri"/>
        </w:rPr>
        <w:t>).</w:t>
      </w:r>
    </w:p>
    <w:p w:rsidR="00DC1467" w:rsidRDefault="00DC1467">
      <w:pPr>
        <w:spacing w:line="276" w:lineRule="auto"/>
        <w:jc w:val="right"/>
        <w:rPr>
          <w:rFonts w:eastAsia="Calibri"/>
          <w:color w:val="000000"/>
        </w:rPr>
      </w:pPr>
    </w:p>
    <w:p w:rsidR="00DC1467" w:rsidRDefault="00B70D3E">
      <w:pPr>
        <w:spacing w:line="276" w:lineRule="auto"/>
        <w:jc w:val="right"/>
        <w:rPr>
          <w:rFonts w:eastAsia="Calibri"/>
          <w:color w:val="000000"/>
        </w:rPr>
      </w:pPr>
      <w:r>
        <w:rPr>
          <w:rFonts w:eastAsia="Calibri"/>
          <w:color w:val="000000"/>
        </w:rPr>
        <w:t>Таблица 1.1</w:t>
      </w:r>
    </w:p>
    <w:p w:rsidR="00DC1467" w:rsidRDefault="00B70D3E">
      <w:pPr>
        <w:spacing w:line="276" w:lineRule="auto"/>
        <w:ind w:firstLine="0"/>
        <w:jc w:val="center"/>
        <w:rPr>
          <w:b/>
        </w:rPr>
      </w:pPr>
      <w:r>
        <w:rPr>
          <w:b/>
        </w:rPr>
        <w:t>Численность постоянного населения на 1 января 2023 года,</w:t>
      </w:r>
    </w:p>
    <w:p w:rsidR="00DC1467" w:rsidRDefault="00B70D3E">
      <w:pPr>
        <w:spacing w:line="276" w:lineRule="auto"/>
        <w:ind w:firstLine="0"/>
        <w:jc w:val="center"/>
        <w:rPr>
          <w:b/>
          <w:bCs/>
        </w:rPr>
      </w:pPr>
      <w:r>
        <w:rPr>
          <w:b/>
        </w:rPr>
        <w:t>а также в среднем за год, предшествующий отче</w:t>
      </w:r>
      <w:r>
        <w:rPr>
          <w:b/>
        </w:rPr>
        <w:t xml:space="preserve">тному </w:t>
      </w:r>
      <w:r>
        <w:rPr>
          <w:b/>
        </w:rPr>
        <w:br/>
        <w:t>(с разбивкой по половозрастным характеристикам)</w:t>
      </w:r>
    </w:p>
    <w:p w:rsidR="00DC1467" w:rsidRDefault="00DC1467">
      <w:pPr>
        <w:spacing w:line="276" w:lineRule="auto"/>
        <w:ind w:firstLine="0"/>
        <w:jc w:val="center"/>
        <w:rPr>
          <w:b/>
          <w:bCs/>
        </w:rPr>
      </w:pPr>
    </w:p>
    <w:tbl>
      <w:tblPr>
        <w:tblW w:w="9229" w:type="dxa"/>
        <w:tblInd w:w="93" w:type="dxa"/>
        <w:tblLook w:val="04A0" w:firstRow="1" w:lastRow="0" w:firstColumn="1" w:lastColumn="0" w:noHBand="0" w:noVBand="1"/>
      </w:tblPr>
      <w:tblGrid>
        <w:gridCol w:w="3984"/>
        <w:gridCol w:w="1843"/>
        <w:gridCol w:w="1701"/>
        <w:gridCol w:w="1701"/>
      </w:tblGrid>
      <w:tr w:rsidR="00DC1467">
        <w:trPr>
          <w:trHeight w:val="227"/>
        </w:trPr>
        <w:tc>
          <w:tcPr>
            <w:tcW w:w="398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DC1467" w:rsidRDefault="00B70D3E">
            <w:pPr>
              <w:spacing w:line="240" w:lineRule="auto"/>
              <w:ind w:firstLine="0"/>
              <w:jc w:val="center"/>
              <w:rPr>
                <w:color w:val="000000"/>
                <w:sz w:val="24"/>
                <w:szCs w:val="24"/>
              </w:rPr>
            </w:pPr>
            <w:r>
              <w:rPr>
                <w:color w:val="000000"/>
                <w:sz w:val="24"/>
                <w:szCs w:val="24"/>
              </w:rPr>
              <w:t>Возраст (лет)</w:t>
            </w:r>
          </w:p>
        </w:tc>
        <w:tc>
          <w:tcPr>
            <w:tcW w:w="5245" w:type="dxa"/>
            <w:gridSpan w:val="3"/>
            <w:tcBorders>
              <w:top w:val="single" w:sz="4" w:space="0" w:color="auto"/>
              <w:left w:val="none" w:sz="4" w:space="0" w:color="000000"/>
              <w:bottom w:val="single" w:sz="4" w:space="0" w:color="auto"/>
              <w:right w:val="single" w:sz="4" w:space="0" w:color="auto"/>
            </w:tcBorders>
            <w:shd w:val="clear" w:color="auto" w:fill="auto"/>
            <w:noWrap/>
            <w:vAlign w:val="center"/>
          </w:tcPr>
          <w:p w:rsidR="00DC1467" w:rsidRDefault="00B70D3E">
            <w:pPr>
              <w:spacing w:line="240" w:lineRule="auto"/>
              <w:ind w:firstLine="0"/>
              <w:jc w:val="center"/>
              <w:rPr>
                <w:color w:val="000000"/>
                <w:sz w:val="24"/>
                <w:szCs w:val="24"/>
              </w:rPr>
            </w:pPr>
            <w:r>
              <w:rPr>
                <w:color w:val="000000"/>
                <w:sz w:val="24"/>
                <w:szCs w:val="24"/>
              </w:rPr>
              <w:t>Все население (чел.)</w:t>
            </w:r>
          </w:p>
        </w:tc>
      </w:tr>
      <w:tr w:rsidR="00DC1467">
        <w:trPr>
          <w:trHeight w:val="227"/>
        </w:trPr>
        <w:tc>
          <w:tcPr>
            <w:tcW w:w="3984" w:type="dxa"/>
            <w:vMerge/>
            <w:tcBorders>
              <w:top w:val="single" w:sz="4" w:space="0" w:color="auto"/>
              <w:left w:val="single" w:sz="4" w:space="0" w:color="auto"/>
              <w:bottom w:val="single" w:sz="4" w:space="0" w:color="auto"/>
              <w:right w:val="single" w:sz="4" w:space="0" w:color="auto"/>
            </w:tcBorders>
            <w:vAlign w:val="center"/>
          </w:tcPr>
          <w:p w:rsidR="00DC1467" w:rsidRDefault="00DC1467">
            <w:pPr>
              <w:spacing w:line="240" w:lineRule="auto"/>
              <w:ind w:firstLine="0"/>
              <w:jc w:val="left"/>
              <w:rPr>
                <w:color w:val="000000"/>
                <w:sz w:val="24"/>
                <w:szCs w:val="24"/>
              </w:rPr>
            </w:pPr>
          </w:p>
        </w:tc>
        <w:tc>
          <w:tcPr>
            <w:tcW w:w="1843" w:type="dxa"/>
            <w:tcBorders>
              <w:top w:val="none" w:sz="4" w:space="0" w:color="000000"/>
              <w:left w:val="none" w:sz="4" w:space="0" w:color="000000"/>
              <w:bottom w:val="single" w:sz="4" w:space="0" w:color="auto"/>
              <w:right w:val="single" w:sz="4" w:space="0" w:color="auto"/>
            </w:tcBorders>
            <w:shd w:val="clear" w:color="auto" w:fill="auto"/>
            <w:vAlign w:val="center"/>
          </w:tcPr>
          <w:p w:rsidR="00DC1467" w:rsidRDefault="00B70D3E">
            <w:pPr>
              <w:spacing w:line="240" w:lineRule="auto"/>
              <w:ind w:firstLine="0"/>
              <w:jc w:val="center"/>
              <w:rPr>
                <w:color w:val="000000"/>
                <w:sz w:val="24"/>
                <w:szCs w:val="24"/>
              </w:rPr>
            </w:pPr>
            <w:r>
              <w:rPr>
                <w:color w:val="000000"/>
                <w:sz w:val="24"/>
                <w:szCs w:val="24"/>
              </w:rPr>
              <w:t xml:space="preserve">мужчины и женщины </w:t>
            </w:r>
          </w:p>
        </w:tc>
        <w:tc>
          <w:tcPr>
            <w:tcW w:w="1701" w:type="dxa"/>
            <w:tcBorders>
              <w:top w:val="none" w:sz="4" w:space="0" w:color="000000"/>
              <w:left w:val="none" w:sz="4" w:space="0" w:color="000000"/>
              <w:bottom w:val="single" w:sz="4" w:space="0" w:color="auto"/>
              <w:right w:val="single" w:sz="4" w:space="0" w:color="auto"/>
            </w:tcBorders>
            <w:shd w:val="clear" w:color="auto" w:fill="auto"/>
            <w:noWrap/>
            <w:vAlign w:val="center"/>
          </w:tcPr>
          <w:p w:rsidR="00DC1467" w:rsidRDefault="00B70D3E">
            <w:pPr>
              <w:spacing w:line="240" w:lineRule="auto"/>
              <w:ind w:firstLine="0"/>
              <w:jc w:val="center"/>
              <w:rPr>
                <w:color w:val="000000"/>
                <w:sz w:val="24"/>
                <w:szCs w:val="24"/>
              </w:rPr>
            </w:pPr>
            <w:r>
              <w:rPr>
                <w:color w:val="000000"/>
                <w:sz w:val="24"/>
                <w:szCs w:val="24"/>
              </w:rPr>
              <w:t>мужчины</w:t>
            </w:r>
          </w:p>
        </w:tc>
        <w:tc>
          <w:tcPr>
            <w:tcW w:w="1701" w:type="dxa"/>
            <w:tcBorders>
              <w:top w:val="none" w:sz="4" w:space="0" w:color="000000"/>
              <w:left w:val="none" w:sz="4" w:space="0" w:color="000000"/>
              <w:bottom w:val="single" w:sz="4" w:space="0" w:color="auto"/>
              <w:right w:val="single" w:sz="4" w:space="0" w:color="auto"/>
            </w:tcBorders>
            <w:shd w:val="clear" w:color="auto" w:fill="auto"/>
            <w:noWrap/>
            <w:vAlign w:val="center"/>
          </w:tcPr>
          <w:p w:rsidR="00DC1467" w:rsidRDefault="00B70D3E">
            <w:pPr>
              <w:spacing w:line="240" w:lineRule="auto"/>
              <w:ind w:firstLine="0"/>
              <w:jc w:val="center"/>
              <w:rPr>
                <w:color w:val="000000"/>
                <w:sz w:val="24"/>
                <w:szCs w:val="24"/>
              </w:rPr>
            </w:pPr>
            <w:r>
              <w:rPr>
                <w:color w:val="000000"/>
                <w:sz w:val="24"/>
                <w:szCs w:val="24"/>
              </w:rPr>
              <w:t>женщины</w:t>
            </w:r>
          </w:p>
        </w:tc>
      </w:tr>
      <w:tr w:rsidR="00DC1467">
        <w:trPr>
          <w:trHeight w:val="227"/>
        </w:trPr>
        <w:tc>
          <w:tcPr>
            <w:tcW w:w="3984" w:type="dxa"/>
            <w:tcBorders>
              <w:top w:val="none" w:sz="4" w:space="0" w:color="000000"/>
              <w:left w:val="single" w:sz="4" w:space="0" w:color="auto"/>
              <w:bottom w:val="single" w:sz="4" w:space="0" w:color="auto"/>
              <w:right w:val="single" w:sz="4" w:space="0" w:color="auto"/>
            </w:tcBorders>
            <w:shd w:val="clear" w:color="auto" w:fill="auto"/>
            <w:vAlign w:val="center"/>
          </w:tcPr>
          <w:p w:rsidR="00DC1467" w:rsidRDefault="00B70D3E">
            <w:pPr>
              <w:spacing w:line="240" w:lineRule="auto"/>
              <w:ind w:firstLine="0"/>
              <w:jc w:val="left"/>
              <w:rPr>
                <w:color w:val="000000"/>
                <w:sz w:val="24"/>
                <w:szCs w:val="24"/>
              </w:rPr>
            </w:pPr>
            <w:r>
              <w:rPr>
                <w:color w:val="000000"/>
                <w:sz w:val="24"/>
                <w:szCs w:val="24"/>
              </w:rPr>
              <w:t>Численность постоянного населения, в том числе в возрасте:</w:t>
            </w:r>
          </w:p>
        </w:tc>
        <w:tc>
          <w:tcPr>
            <w:tcW w:w="1843" w:type="dxa"/>
            <w:tcBorders>
              <w:top w:val="none" w:sz="4" w:space="0" w:color="000000"/>
              <w:left w:val="none" w:sz="4" w:space="0" w:color="000000"/>
              <w:bottom w:val="single" w:sz="4" w:space="0" w:color="auto"/>
              <w:right w:val="single" w:sz="4" w:space="0" w:color="auto"/>
            </w:tcBorders>
            <w:shd w:val="clear" w:color="auto" w:fill="auto"/>
            <w:vAlign w:val="center"/>
          </w:tcPr>
          <w:p w:rsidR="00DC1467" w:rsidRDefault="00B70D3E">
            <w:pPr>
              <w:spacing w:line="240" w:lineRule="auto"/>
              <w:ind w:firstLine="0"/>
              <w:jc w:val="center"/>
              <w:rPr>
                <w:b/>
                <w:bCs/>
                <w:color w:val="000000"/>
                <w:sz w:val="24"/>
                <w:szCs w:val="24"/>
              </w:rPr>
            </w:pPr>
            <w:r>
              <w:rPr>
                <w:b/>
                <w:bCs/>
                <w:color w:val="000000"/>
                <w:sz w:val="24"/>
                <w:szCs w:val="24"/>
              </w:rPr>
              <w:t>1 730 353</w:t>
            </w:r>
          </w:p>
        </w:tc>
        <w:tc>
          <w:tcPr>
            <w:tcW w:w="1701" w:type="dxa"/>
            <w:tcBorders>
              <w:top w:val="none" w:sz="4" w:space="0" w:color="000000"/>
              <w:left w:val="none" w:sz="4" w:space="0" w:color="000000"/>
              <w:bottom w:val="single" w:sz="4" w:space="0" w:color="auto"/>
              <w:right w:val="single" w:sz="4" w:space="0" w:color="auto"/>
            </w:tcBorders>
            <w:shd w:val="clear" w:color="auto" w:fill="auto"/>
            <w:vAlign w:val="center"/>
          </w:tcPr>
          <w:p w:rsidR="00DC1467" w:rsidRDefault="00B70D3E">
            <w:pPr>
              <w:spacing w:line="240" w:lineRule="auto"/>
              <w:ind w:firstLine="0"/>
              <w:jc w:val="center"/>
              <w:rPr>
                <w:b/>
                <w:bCs/>
                <w:color w:val="000000"/>
                <w:sz w:val="24"/>
                <w:szCs w:val="24"/>
              </w:rPr>
            </w:pPr>
            <w:r>
              <w:rPr>
                <w:b/>
                <w:bCs/>
                <w:color w:val="000000"/>
                <w:sz w:val="24"/>
                <w:szCs w:val="24"/>
              </w:rPr>
              <w:t>833 816</w:t>
            </w:r>
          </w:p>
        </w:tc>
        <w:tc>
          <w:tcPr>
            <w:tcW w:w="1701" w:type="dxa"/>
            <w:tcBorders>
              <w:top w:val="none" w:sz="4" w:space="0" w:color="000000"/>
              <w:left w:val="none" w:sz="4" w:space="0" w:color="000000"/>
              <w:bottom w:val="single" w:sz="4" w:space="0" w:color="auto"/>
              <w:right w:val="single" w:sz="4" w:space="0" w:color="auto"/>
            </w:tcBorders>
            <w:shd w:val="clear" w:color="auto" w:fill="auto"/>
            <w:vAlign w:val="center"/>
          </w:tcPr>
          <w:p w:rsidR="00DC1467" w:rsidRDefault="00B70D3E">
            <w:pPr>
              <w:spacing w:line="240" w:lineRule="auto"/>
              <w:ind w:firstLine="0"/>
              <w:jc w:val="center"/>
              <w:rPr>
                <w:b/>
                <w:bCs/>
                <w:color w:val="000000"/>
                <w:sz w:val="24"/>
                <w:szCs w:val="24"/>
              </w:rPr>
            </w:pPr>
            <w:r>
              <w:rPr>
                <w:b/>
                <w:bCs/>
                <w:color w:val="000000"/>
                <w:sz w:val="24"/>
                <w:szCs w:val="24"/>
              </w:rPr>
              <w:t>896 537</w:t>
            </w:r>
          </w:p>
        </w:tc>
      </w:tr>
      <w:tr w:rsidR="00DC1467">
        <w:trPr>
          <w:trHeight w:val="227"/>
        </w:trPr>
        <w:tc>
          <w:tcPr>
            <w:tcW w:w="3984" w:type="dxa"/>
            <w:tcBorders>
              <w:top w:val="none" w:sz="4" w:space="0" w:color="000000"/>
              <w:left w:val="single" w:sz="4" w:space="0" w:color="auto"/>
              <w:bottom w:val="single" w:sz="4" w:space="0" w:color="auto"/>
              <w:right w:val="single" w:sz="4" w:space="0" w:color="auto"/>
            </w:tcBorders>
            <w:shd w:val="clear" w:color="auto" w:fill="auto"/>
            <w:vAlign w:val="center"/>
          </w:tcPr>
          <w:p w:rsidR="00DC1467" w:rsidRDefault="00B70D3E">
            <w:pPr>
              <w:spacing w:line="240" w:lineRule="auto"/>
              <w:ind w:firstLine="0"/>
              <w:jc w:val="left"/>
              <w:rPr>
                <w:color w:val="000000"/>
                <w:sz w:val="24"/>
                <w:szCs w:val="24"/>
              </w:rPr>
            </w:pPr>
            <w:r>
              <w:rPr>
                <w:color w:val="000000"/>
                <w:sz w:val="24"/>
                <w:szCs w:val="24"/>
              </w:rPr>
              <w:t>14-60</w:t>
            </w:r>
          </w:p>
        </w:tc>
        <w:tc>
          <w:tcPr>
            <w:tcW w:w="1843" w:type="dxa"/>
            <w:tcBorders>
              <w:top w:val="none" w:sz="4" w:space="0" w:color="000000"/>
              <w:left w:val="none" w:sz="4" w:space="0" w:color="000000"/>
              <w:bottom w:val="single" w:sz="4" w:space="0" w:color="auto"/>
              <w:right w:val="single" w:sz="4" w:space="0" w:color="auto"/>
            </w:tcBorders>
            <w:shd w:val="clear" w:color="auto" w:fill="auto"/>
            <w:vAlign w:val="center"/>
          </w:tcPr>
          <w:p w:rsidR="00DC1467" w:rsidRDefault="00B70D3E">
            <w:pPr>
              <w:spacing w:line="240" w:lineRule="auto"/>
              <w:ind w:firstLine="0"/>
              <w:jc w:val="center"/>
              <w:rPr>
                <w:color w:val="000000"/>
                <w:sz w:val="24"/>
                <w:szCs w:val="24"/>
              </w:rPr>
            </w:pPr>
            <w:r>
              <w:rPr>
                <w:color w:val="000000"/>
                <w:sz w:val="24"/>
                <w:szCs w:val="24"/>
              </w:rPr>
              <w:t>1 136 101</w:t>
            </w:r>
          </w:p>
        </w:tc>
        <w:tc>
          <w:tcPr>
            <w:tcW w:w="1701" w:type="dxa"/>
            <w:tcBorders>
              <w:top w:val="none" w:sz="4" w:space="0" w:color="000000"/>
              <w:left w:val="none" w:sz="4" w:space="0" w:color="000000"/>
              <w:bottom w:val="single" w:sz="4" w:space="0" w:color="auto"/>
              <w:right w:val="single" w:sz="4" w:space="0" w:color="auto"/>
            </w:tcBorders>
            <w:shd w:val="clear" w:color="auto" w:fill="auto"/>
            <w:vAlign w:val="center"/>
          </w:tcPr>
          <w:p w:rsidR="00DC1467" w:rsidRDefault="00B70D3E">
            <w:pPr>
              <w:spacing w:line="240" w:lineRule="auto"/>
              <w:ind w:firstLine="0"/>
              <w:jc w:val="center"/>
              <w:rPr>
                <w:color w:val="000000"/>
                <w:sz w:val="24"/>
                <w:szCs w:val="24"/>
              </w:rPr>
            </w:pPr>
            <w:r>
              <w:rPr>
                <w:color w:val="000000"/>
                <w:sz w:val="24"/>
                <w:szCs w:val="24"/>
              </w:rPr>
              <w:t>557 247</w:t>
            </w:r>
          </w:p>
        </w:tc>
        <w:tc>
          <w:tcPr>
            <w:tcW w:w="1701" w:type="dxa"/>
            <w:tcBorders>
              <w:top w:val="none" w:sz="4" w:space="0" w:color="000000"/>
              <w:left w:val="none" w:sz="4" w:space="0" w:color="000000"/>
              <w:bottom w:val="single" w:sz="4" w:space="0" w:color="auto"/>
              <w:right w:val="single" w:sz="4" w:space="0" w:color="auto"/>
            </w:tcBorders>
            <w:shd w:val="clear" w:color="auto" w:fill="auto"/>
            <w:vAlign w:val="center"/>
          </w:tcPr>
          <w:p w:rsidR="00DC1467" w:rsidRDefault="00B70D3E">
            <w:pPr>
              <w:spacing w:line="240" w:lineRule="auto"/>
              <w:ind w:firstLine="0"/>
              <w:jc w:val="center"/>
              <w:rPr>
                <w:color w:val="000000"/>
                <w:sz w:val="24"/>
                <w:szCs w:val="24"/>
              </w:rPr>
            </w:pPr>
            <w:r>
              <w:rPr>
                <w:color w:val="000000"/>
                <w:sz w:val="24"/>
                <w:szCs w:val="24"/>
              </w:rPr>
              <w:t>578 854</w:t>
            </w:r>
          </w:p>
        </w:tc>
      </w:tr>
      <w:tr w:rsidR="00DC1467">
        <w:trPr>
          <w:trHeight w:val="227"/>
        </w:trPr>
        <w:tc>
          <w:tcPr>
            <w:tcW w:w="3984" w:type="dxa"/>
            <w:tcBorders>
              <w:top w:val="none" w:sz="4" w:space="0" w:color="000000"/>
              <w:left w:val="single" w:sz="4" w:space="0" w:color="auto"/>
              <w:bottom w:val="single" w:sz="4" w:space="0" w:color="auto"/>
              <w:right w:val="single" w:sz="4" w:space="0" w:color="auto"/>
            </w:tcBorders>
            <w:shd w:val="clear" w:color="auto" w:fill="auto"/>
            <w:vAlign w:val="center"/>
          </w:tcPr>
          <w:p w:rsidR="00DC1467" w:rsidRDefault="00B70D3E">
            <w:pPr>
              <w:spacing w:line="240" w:lineRule="auto"/>
              <w:ind w:firstLine="0"/>
              <w:jc w:val="left"/>
              <w:rPr>
                <w:color w:val="000000"/>
                <w:sz w:val="24"/>
                <w:szCs w:val="24"/>
              </w:rPr>
            </w:pPr>
            <w:r>
              <w:rPr>
                <w:color w:val="000000"/>
                <w:sz w:val="24"/>
                <w:szCs w:val="24"/>
              </w:rPr>
              <w:t>0-17, из них:</w:t>
            </w:r>
          </w:p>
        </w:tc>
        <w:tc>
          <w:tcPr>
            <w:tcW w:w="1843" w:type="dxa"/>
            <w:tcBorders>
              <w:top w:val="none" w:sz="4" w:space="0" w:color="000000"/>
              <w:left w:val="none" w:sz="4" w:space="0" w:color="000000"/>
              <w:bottom w:val="single" w:sz="4" w:space="0" w:color="auto"/>
              <w:right w:val="single" w:sz="4" w:space="0" w:color="auto"/>
            </w:tcBorders>
            <w:shd w:val="clear" w:color="auto" w:fill="auto"/>
            <w:vAlign w:val="center"/>
          </w:tcPr>
          <w:p w:rsidR="00DC1467" w:rsidRDefault="00B70D3E">
            <w:pPr>
              <w:spacing w:line="240" w:lineRule="auto"/>
              <w:ind w:firstLine="0"/>
              <w:jc w:val="center"/>
              <w:rPr>
                <w:color w:val="000000"/>
                <w:sz w:val="24"/>
                <w:szCs w:val="24"/>
              </w:rPr>
            </w:pPr>
            <w:r>
              <w:rPr>
                <w:color w:val="000000"/>
                <w:sz w:val="24"/>
                <w:szCs w:val="24"/>
              </w:rPr>
              <w:t>433 003</w:t>
            </w:r>
          </w:p>
        </w:tc>
        <w:tc>
          <w:tcPr>
            <w:tcW w:w="1701" w:type="dxa"/>
            <w:tcBorders>
              <w:top w:val="none" w:sz="4" w:space="0" w:color="000000"/>
              <w:left w:val="none" w:sz="4" w:space="0" w:color="000000"/>
              <w:bottom w:val="single" w:sz="4" w:space="0" w:color="auto"/>
              <w:right w:val="single" w:sz="4" w:space="0" w:color="auto"/>
            </w:tcBorders>
            <w:shd w:val="clear" w:color="auto" w:fill="auto"/>
            <w:vAlign w:val="center"/>
          </w:tcPr>
          <w:p w:rsidR="00DC1467" w:rsidRDefault="00B70D3E">
            <w:pPr>
              <w:spacing w:line="240" w:lineRule="auto"/>
              <w:ind w:firstLine="0"/>
              <w:jc w:val="center"/>
              <w:rPr>
                <w:color w:val="000000"/>
                <w:sz w:val="24"/>
                <w:szCs w:val="24"/>
              </w:rPr>
            </w:pPr>
            <w:r>
              <w:rPr>
                <w:color w:val="000000"/>
                <w:sz w:val="24"/>
                <w:szCs w:val="24"/>
              </w:rPr>
              <w:t>222 335</w:t>
            </w:r>
          </w:p>
        </w:tc>
        <w:tc>
          <w:tcPr>
            <w:tcW w:w="1701" w:type="dxa"/>
            <w:tcBorders>
              <w:top w:val="none" w:sz="4" w:space="0" w:color="000000"/>
              <w:left w:val="none" w:sz="4" w:space="0" w:color="000000"/>
              <w:bottom w:val="single" w:sz="4" w:space="0" w:color="auto"/>
              <w:right w:val="single" w:sz="4" w:space="0" w:color="auto"/>
            </w:tcBorders>
            <w:shd w:val="clear" w:color="auto" w:fill="auto"/>
            <w:vAlign w:val="center"/>
          </w:tcPr>
          <w:p w:rsidR="00DC1467" w:rsidRDefault="00B70D3E">
            <w:pPr>
              <w:spacing w:line="240" w:lineRule="auto"/>
              <w:ind w:firstLine="0"/>
              <w:jc w:val="center"/>
              <w:rPr>
                <w:color w:val="000000"/>
                <w:sz w:val="24"/>
                <w:szCs w:val="24"/>
              </w:rPr>
            </w:pPr>
            <w:r>
              <w:rPr>
                <w:color w:val="000000"/>
                <w:sz w:val="24"/>
                <w:szCs w:val="24"/>
              </w:rPr>
              <w:t>210 668</w:t>
            </w:r>
          </w:p>
        </w:tc>
      </w:tr>
      <w:tr w:rsidR="00DC1467">
        <w:trPr>
          <w:trHeight w:val="227"/>
        </w:trPr>
        <w:tc>
          <w:tcPr>
            <w:tcW w:w="3984" w:type="dxa"/>
            <w:tcBorders>
              <w:top w:val="none" w:sz="4" w:space="0" w:color="000000"/>
              <w:left w:val="single" w:sz="4" w:space="0" w:color="auto"/>
              <w:bottom w:val="single" w:sz="4" w:space="0" w:color="auto"/>
              <w:right w:val="single" w:sz="4" w:space="0" w:color="auto"/>
            </w:tcBorders>
            <w:shd w:val="clear" w:color="auto" w:fill="auto"/>
            <w:vAlign w:val="center"/>
          </w:tcPr>
          <w:p w:rsidR="00DC1467" w:rsidRDefault="00B70D3E">
            <w:pPr>
              <w:spacing w:line="240" w:lineRule="auto"/>
              <w:ind w:firstLine="720"/>
              <w:jc w:val="left"/>
              <w:rPr>
                <w:color w:val="000000"/>
                <w:sz w:val="24"/>
                <w:szCs w:val="24"/>
              </w:rPr>
            </w:pPr>
            <w:r>
              <w:rPr>
                <w:color w:val="000000"/>
                <w:sz w:val="24"/>
                <w:szCs w:val="24"/>
              </w:rPr>
              <w:t>0-13</w:t>
            </w:r>
          </w:p>
        </w:tc>
        <w:tc>
          <w:tcPr>
            <w:tcW w:w="1843" w:type="dxa"/>
            <w:tcBorders>
              <w:top w:val="none" w:sz="4" w:space="0" w:color="000000"/>
              <w:left w:val="none" w:sz="4" w:space="0" w:color="000000"/>
              <w:bottom w:val="single" w:sz="4" w:space="0" w:color="auto"/>
              <w:right w:val="single" w:sz="4" w:space="0" w:color="auto"/>
            </w:tcBorders>
            <w:shd w:val="clear" w:color="auto" w:fill="auto"/>
            <w:vAlign w:val="center"/>
          </w:tcPr>
          <w:p w:rsidR="00DC1467" w:rsidRDefault="00B70D3E">
            <w:pPr>
              <w:spacing w:line="240" w:lineRule="auto"/>
              <w:ind w:firstLine="0"/>
              <w:jc w:val="center"/>
              <w:rPr>
                <w:color w:val="000000"/>
                <w:sz w:val="24"/>
                <w:szCs w:val="24"/>
              </w:rPr>
            </w:pPr>
            <w:r>
              <w:rPr>
                <w:color w:val="000000"/>
                <w:sz w:val="24"/>
                <w:szCs w:val="24"/>
              </w:rPr>
              <w:t>344 069</w:t>
            </w:r>
          </w:p>
        </w:tc>
        <w:tc>
          <w:tcPr>
            <w:tcW w:w="1701" w:type="dxa"/>
            <w:tcBorders>
              <w:top w:val="none" w:sz="4" w:space="0" w:color="000000"/>
              <w:left w:val="none" w:sz="4" w:space="0" w:color="000000"/>
              <w:bottom w:val="single" w:sz="4" w:space="0" w:color="auto"/>
              <w:right w:val="single" w:sz="4" w:space="0" w:color="auto"/>
            </w:tcBorders>
            <w:shd w:val="clear" w:color="auto" w:fill="auto"/>
            <w:vAlign w:val="center"/>
          </w:tcPr>
          <w:p w:rsidR="00DC1467" w:rsidRDefault="00B70D3E">
            <w:pPr>
              <w:spacing w:line="240" w:lineRule="auto"/>
              <w:ind w:firstLine="0"/>
              <w:jc w:val="center"/>
              <w:rPr>
                <w:color w:val="000000"/>
                <w:sz w:val="24"/>
                <w:szCs w:val="24"/>
              </w:rPr>
            </w:pPr>
            <w:r>
              <w:rPr>
                <w:color w:val="000000"/>
                <w:sz w:val="24"/>
                <w:szCs w:val="24"/>
              </w:rPr>
              <w:t>176 525</w:t>
            </w:r>
          </w:p>
        </w:tc>
        <w:tc>
          <w:tcPr>
            <w:tcW w:w="1701" w:type="dxa"/>
            <w:tcBorders>
              <w:top w:val="none" w:sz="4" w:space="0" w:color="000000"/>
              <w:left w:val="none" w:sz="4" w:space="0" w:color="000000"/>
              <w:bottom w:val="single" w:sz="4" w:space="0" w:color="auto"/>
              <w:right w:val="single" w:sz="4" w:space="0" w:color="auto"/>
            </w:tcBorders>
            <w:shd w:val="clear" w:color="auto" w:fill="auto"/>
            <w:vAlign w:val="center"/>
          </w:tcPr>
          <w:p w:rsidR="00DC1467" w:rsidRDefault="00B70D3E">
            <w:pPr>
              <w:spacing w:line="240" w:lineRule="auto"/>
              <w:ind w:firstLine="0"/>
              <w:jc w:val="center"/>
              <w:rPr>
                <w:color w:val="000000"/>
                <w:sz w:val="24"/>
                <w:szCs w:val="24"/>
              </w:rPr>
            </w:pPr>
            <w:r>
              <w:rPr>
                <w:color w:val="000000"/>
                <w:sz w:val="24"/>
                <w:szCs w:val="24"/>
              </w:rPr>
              <w:t>167 544</w:t>
            </w:r>
          </w:p>
        </w:tc>
      </w:tr>
      <w:tr w:rsidR="00DC1467">
        <w:trPr>
          <w:trHeight w:val="227"/>
        </w:trPr>
        <w:tc>
          <w:tcPr>
            <w:tcW w:w="3984" w:type="dxa"/>
            <w:tcBorders>
              <w:top w:val="none" w:sz="4" w:space="0" w:color="000000"/>
              <w:left w:val="single" w:sz="4" w:space="0" w:color="auto"/>
              <w:bottom w:val="single" w:sz="4" w:space="0" w:color="auto"/>
              <w:right w:val="single" w:sz="4" w:space="0" w:color="auto"/>
            </w:tcBorders>
            <w:shd w:val="clear" w:color="auto" w:fill="auto"/>
            <w:vAlign w:val="center"/>
          </w:tcPr>
          <w:p w:rsidR="00DC1467" w:rsidRDefault="00B70D3E">
            <w:pPr>
              <w:spacing w:line="240" w:lineRule="auto"/>
              <w:ind w:firstLine="720"/>
              <w:jc w:val="left"/>
              <w:rPr>
                <w:color w:val="000000"/>
                <w:sz w:val="24"/>
                <w:szCs w:val="24"/>
              </w:rPr>
            </w:pPr>
            <w:r>
              <w:rPr>
                <w:color w:val="000000"/>
                <w:sz w:val="24"/>
                <w:szCs w:val="24"/>
              </w:rPr>
              <w:t>0-14</w:t>
            </w:r>
          </w:p>
        </w:tc>
        <w:tc>
          <w:tcPr>
            <w:tcW w:w="1843" w:type="dxa"/>
            <w:tcBorders>
              <w:top w:val="none" w:sz="4" w:space="0" w:color="000000"/>
              <w:left w:val="none" w:sz="4" w:space="0" w:color="000000"/>
              <w:bottom w:val="single" w:sz="4" w:space="0" w:color="auto"/>
              <w:right w:val="single" w:sz="4" w:space="0" w:color="auto"/>
            </w:tcBorders>
            <w:shd w:val="clear" w:color="auto" w:fill="auto"/>
            <w:vAlign w:val="center"/>
          </w:tcPr>
          <w:p w:rsidR="00DC1467" w:rsidRDefault="00B70D3E">
            <w:pPr>
              <w:spacing w:line="240" w:lineRule="auto"/>
              <w:ind w:firstLine="0"/>
              <w:jc w:val="center"/>
              <w:rPr>
                <w:color w:val="000000"/>
                <w:sz w:val="24"/>
                <w:szCs w:val="24"/>
              </w:rPr>
            </w:pPr>
            <w:r>
              <w:rPr>
                <w:color w:val="000000"/>
                <w:sz w:val="24"/>
                <w:szCs w:val="24"/>
              </w:rPr>
              <w:t>368 056</w:t>
            </w:r>
          </w:p>
        </w:tc>
        <w:tc>
          <w:tcPr>
            <w:tcW w:w="1701" w:type="dxa"/>
            <w:tcBorders>
              <w:top w:val="none" w:sz="4" w:space="0" w:color="000000"/>
              <w:left w:val="none" w:sz="4" w:space="0" w:color="000000"/>
              <w:bottom w:val="single" w:sz="4" w:space="0" w:color="auto"/>
              <w:right w:val="single" w:sz="4" w:space="0" w:color="auto"/>
            </w:tcBorders>
            <w:shd w:val="clear" w:color="auto" w:fill="auto"/>
            <w:vAlign w:val="center"/>
          </w:tcPr>
          <w:p w:rsidR="00DC1467" w:rsidRDefault="00B70D3E">
            <w:pPr>
              <w:spacing w:line="240" w:lineRule="auto"/>
              <w:ind w:firstLine="0"/>
              <w:jc w:val="center"/>
              <w:rPr>
                <w:color w:val="000000"/>
                <w:sz w:val="24"/>
                <w:szCs w:val="24"/>
              </w:rPr>
            </w:pPr>
            <w:r>
              <w:rPr>
                <w:color w:val="000000"/>
                <w:sz w:val="24"/>
                <w:szCs w:val="24"/>
              </w:rPr>
              <w:t>188 899</w:t>
            </w:r>
          </w:p>
        </w:tc>
        <w:tc>
          <w:tcPr>
            <w:tcW w:w="1701" w:type="dxa"/>
            <w:tcBorders>
              <w:top w:val="none" w:sz="4" w:space="0" w:color="000000"/>
              <w:left w:val="none" w:sz="4" w:space="0" w:color="000000"/>
              <w:bottom w:val="single" w:sz="4" w:space="0" w:color="auto"/>
              <w:right w:val="single" w:sz="4" w:space="0" w:color="auto"/>
            </w:tcBorders>
            <w:shd w:val="clear" w:color="auto" w:fill="auto"/>
            <w:vAlign w:val="center"/>
          </w:tcPr>
          <w:p w:rsidR="00DC1467" w:rsidRDefault="00B70D3E">
            <w:pPr>
              <w:spacing w:line="240" w:lineRule="auto"/>
              <w:ind w:firstLine="0"/>
              <w:jc w:val="center"/>
              <w:rPr>
                <w:color w:val="000000"/>
                <w:sz w:val="24"/>
                <w:szCs w:val="24"/>
              </w:rPr>
            </w:pPr>
            <w:r>
              <w:rPr>
                <w:color w:val="000000"/>
                <w:sz w:val="24"/>
                <w:szCs w:val="24"/>
              </w:rPr>
              <w:t>179 157</w:t>
            </w:r>
          </w:p>
        </w:tc>
      </w:tr>
      <w:tr w:rsidR="00DC1467">
        <w:trPr>
          <w:trHeight w:val="227"/>
        </w:trPr>
        <w:tc>
          <w:tcPr>
            <w:tcW w:w="3984" w:type="dxa"/>
            <w:tcBorders>
              <w:top w:val="none" w:sz="4" w:space="0" w:color="000000"/>
              <w:left w:val="single" w:sz="4" w:space="0" w:color="auto"/>
              <w:bottom w:val="single" w:sz="4" w:space="0" w:color="auto"/>
              <w:right w:val="single" w:sz="4" w:space="0" w:color="auto"/>
            </w:tcBorders>
            <w:shd w:val="clear" w:color="auto" w:fill="auto"/>
            <w:vAlign w:val="center"/>
          </w:tcPr>
          <w:p w:rsidR="00DC1467" w:rsidRDefault="00B70D3E">
            <w:pPr>
              <w:spacing w:line="240" w:lineRule="auto"/>
              <w:ind w:firstLine="720"/>
              <w:jc w:val="left"/>
              <w:rPr>
                <w:color w:val="000000"/>
                <w:sz w:val="24"/>
                <w:szCs w:val="24"/>
              </w:rPr>
            </w:pPr>
            <w:r>
              <w:rPr>
                <w:color w:val="000000"/>
                <w:sz w:val="24"/>
                <w:szCs w:val="24"/>
              </w:rPr>
              <w:t>14-17</w:t>
            </w:r>
          </w:p>
        </w:tc>
        <w:tc>
          <w:tcPr>
            <w:tcW w:w="1843" w:type="dxa"/>
            <w:tcBorders>
              <w:top w:val="none" w:sz="4" w:space="0" w:color="000000"/>
              <w:left w:val="none" w:sz="4" w:space="0" w:color="000000"/>
              <w:bottom w:val="single" w:sz="4" w:space="0" w:color="auto"/>
              <w:right w:val="single" w:sz="4" w:space="0" w:color="auto"/>
            </w:tcBorders>
            <w:shd w:val="clear" w:color="auto" w:fill="auto"/>
            <w:vAlign w:val="center"/>
          </w:tcPr>
          <w:p w:rsidR="00DC1467" w:rsidRDefault="00B70D3E">
            <w:pPr>
              <w:spacing w:line="240" w:lineRule="auto"/>
              <w:ind w:firstLine="0"/>
              <w:jc w:val="center"/>
              <w:rPr>
                <w:color w:val="000000"/>
                <w:sz w:val="24"/>
                <w:szCs w:val="24"/>
              </w:rPr>
            </w:pPr>
            <w:r>
              <w:rPr>
                <w:color w:val="000000"/>
                <w:sz w:val="24"/>
                <w:szCs w:val="24"/>
              </w:rPr>
              <w:t>88 934</w:t>
            </w:r>
          </w:p>
        </w:tc>
        <w:tc>
          <w:tcPr>
            <w:tcW w:w="1701" w:type="dxa"/>
            <w:tcBorders>
              <w:top w:val="none" w:sz="4" w:space="0" w:color="000000"/>
              <w:left w:val="none" w:sz="4" w:space="0" w:color="000000"/>
              <w:bottom w:val="single" w:sz="4" w:space="0" w:color="auto"/>
              <w:right w:val="single" w:sz="4" w:space="0" w:color="auto"/>
            </w:tcBorders>
            <w:shd w:val="clear" w:color="auto" w:fill="auto"/>
            <w:vAlign w:val="center"/>
          </w:tcPr>
          <w:p w:rsidR="00DC1467" w:rsidRDefault="00B70D3E">
            <w:pPr>
              <w:spacing w:line="240" w:lineRule="auto"/>
              <w:ind w:firstLine="0"/>
              <w:jc w:val="center"/>
              <w:rPr>
                <w:color w:val="000000"/>
                <w:sz w:val="24"/>
                <w:szCs w:val="24"/>
              </w:rPr>
            </w:pPr>
            <w:r>
              <w:rPr>
                <w:color w:val="000000"/>
                <w:sz w:val="24"/>
                <w:szCs w:val="24"/>
              </w:rPr>
              <w:t>45 810</w:t>
            </w:r>
          </w:p>
        </w:tc>
        <w:tc>
          <w:tcPr>
            <w:tcW w:w="1701" w:type="dxa"/>
            <w:tcBorders>
              <w:top w:val="none" w:sz="4" w:space="0" w:color="000000"/>
              <w:left w:val="none" w:sz="4" w:space="0" w:color="000000"/>
              <w:bottom w:val="single" w:sz="4" w:space="0" w:color="auto"/>
              <w:right w:val="single" w:sz="4" w:space="0" w:color="auto"/>
            </w:tcBorders>
            <w:shd w:val="clear" w:color="auto" w:fill="auto"/>
            <w:vAlign w:val="center"/>
          </w:tcPr>
          <w:p w:rsidR="00DC1467" w:rsidRDefault="00B70D3E">
            <w:pPr>
              <w:spacing w:line="240" w:lineRule="auto"/>
              <w:ind w:firstLine="0"/>
              <w:jc w:val="center"/>
              <w:rPr>
                <w:color w:val="000000"/>
                <w:sz w:val="24"/>
                <w:szCs w:val="24"/>
              </w:rPr>
            </w:pPr>
            <w:r>
              <w:rPr>
                <w:color w:val="000000"/>
                <w:sz w:val="24"/>
                <w:szCs w:val="24"/>
              </w:rPr>
              <w:t>43 124</w:t>
            </w:r>
          </w:p>
        </w:tc>
      </w:tr>
      <w:tr w:rsidR="00DC1467">
        <w:trPr>
          <w:trHeight w:val="227"/>
        </w:trPr>
        <w:tc>
          <w:tcPr>
            <w:tcW w:w="3984" w:type="dxa"/>
            <w:tcBorders>
              <w:top w:val="none" w:sz="4" w:space="0" w:color="000000"/>
              <w:left w:val="single" w:sz="4" w:space="0" w:color="auto"/>
              <w:bottom w:val="single" w:sz="4" w:space="0" w:color="auto"/>
              <w:right w:val="single" w:sz="4" w:space="0" w:color="auto"/>
            </w:tcBorders>
            <w:shd w:val="clear" w:color="auto" w:fill="auto"/>
            <w:vAlign w:val="center"/>
          </w:tcPr>
          <w:p w:rsidR="00DC1467" w:rsidRDefault="00B70D3E">
            <w:pPr>
              <w:spacing w:line="240" w:lineRule="auto"/>
              <w:ind w:firstLine="0"/>
              <w:jc w:val="left"/>
              <w:rPr>
                <w:color w:val="000000"/>
                <w:sz w:val="24"/>
                <w:szCs w:val="24"/>
              </w:rPr>
            </w:pPr>
            <w:r>
              <w:rPr>
                <w:color w:val="000000"/>
                <w:sz w:val="24"/>
                <w:szCs w:val="24"/>
              </w:rPr>
              <w:t>18-24</w:t>
            </w:r>
          </w:p>
        </w:tc>
        <w:tc>
          <w:tcPr>
            <w:tcW w:w="1843" w:type="dxa"/>
            <w:tcBorders>
              <w:top w:val="none" w:sz="4" w:space="0" w:color="000000"/>
              <w:left w:val="none" w:sz="4" w:space="0" w:color="000000"/>
              <w:bottom w:val="single" w:sz="4" w:space="0" w:color="auto"/>
              <w:right w:val="single" w:sz="4" w:space="0" w:color="auto"/>
            </w:tcBorders>
            <w:shd w:val="clear" w:color="auto" w:fill="auto"/>
            <w:vAlign w:val="center"/>
          </w:tcPr>
          <w:p w:rsidR="00DC1467" w:rsidRDefault="00B70D3E">
            <w:pPr>
              <w:spacing w:line="240" w:lineRule="auto"/>
              <w:ind w:firstLine="0"/>
              <w:jc w:val="center"/>
              <w:rPr>
                <w:color w:val="000000"/>
                <w:sz w:val="24"/>
                <w:szCs w:val="24"/>
              </w:rPr>
            </w:pPr>
            <w:r>
              <w:rPr>
                <w:color w:val="000000"/>
                <w:sz w:val="24"/>
                <w:szCs w:val="24"/>
              </w:rPr>
              <w:t>127 170</w:t>
            </w:r>
          </w:p>
        </w:tc>
        <w:tc>
          <w:tcPr>
            <w:tcW w:w="1701" w:type="dxa"/>
            <w:tcBorders>
              <w:top w:val="none" w:sz="4" w:space="0" w:color="000000"/>
              <w:left w:val="none" w:sz="4" w:space="0" w:color="000000"/>
              <w:bottom w:val="single" w:sz="4" w:space="0" w:color="auto"/>
              <w:right w:val="single" w:sz="4" w:space="0" w:color="auto"/>
            </w:tcBorders>
            <w:shd w:val="clear" w:color="auto" w:fill="auto"/>
            <w:vAlign w:val="center"/>
          </w:tcPr>
          <w:p w:rsidR="00DC1467" w:rsidRDefault="00B70D3E">
            <w:pPr>
              <w:spacing w:line="240" w:lineRule="auto"/>
              <w:ind w:firstLine="0"/>
              <w:jc w:val="center"/>
              <w:rPr>
                <w:color w:val="000000"/>
                <w:sz w:val="24"/>
                <w:szCs w:val="24"/>
              </w:rPr>
            </w:pPr>
            <w:r>
              <w:rPr>
                <w:color w:val="000000"/>
                <w:sz w:val="24"/>
                <w:szCs w:val="24"/>
              </w:rPr>
              <w:t>63 572</w:t>
            </w:r>
          </w:p>
        </w:tc>
        <w:tc>
          <w:tcPr>
            <w:tcW w:w="1701" w:type="dxa"/>
            <w:tcBorders>
              <w:top w:val="none" w:sz="4" w:space="0" w:color="000000"/>
              <w:left w:val="none" w:sz="4" w:space="0" w:color="000000"/>
              <w:bottom w:val="single" w:sz="4" w:space="0" w:color="auto"/>
              <w:right w:val="single" w:sz="4" w:space="0" w:color="auto"/>
            </w:tcBorders>
            <w:shd w:val="clear" w:color="auto" w:fill="auto"/>
            <w:vAlign w:val="center"/>
          </w:tcPr>
          <w:p w:rsidR="00DC1467" w:rsidRDefault="00B70D3E">
            <w:pPr>
              <w:spacing w:line="240" w:lineRule="auto"/>
              <w:ind w:firstLine="0"/>
              <w:jc w:val="center"/>
              <w:rPr>
                <w:color w:val="000000"/>
                <w:sz w:val="24"/>
                <w:szCs w:val="24"/>
              </w:rPr>
            </w:pPr>
            <w:r>
              <w:rPr>
                <w:color w:val="000000"/>
                <w:sz w:val="24"/>
                <w:szCs w:val="24"/>
              </w:rPr>
              <w:t>63 598</w:t>
            </w:r>
          </w:p>
        </w:tc>
      </w:tr>
      <w:tr w:rsidR="00DC1467">
        <w:trPr>
          <w:trHeight w:val="227"/>
        </w:trPr>
        <w:tc>
          <w:tcPr>
            <w:tcW w:w="3984" w:type="dxa"/>
            <w:tcBorders>
              <w:top w:val="none" w:sz="4" w:space="0" w:color="000000"/>
              <w:left w:val="single" w:sz="4" w:space="0" w:color="auto"/>
              <w:bottom w:val="single" w:sz="4" w:space="0" w:color="auto"/>
              <w:right w:val="single" w:sz="4" w:space="0" w:color="auto"/>
            </w:tcBorders>
            <w:shd w:val="clear" w:color="auto" w:fill="auto"/>
            <w:vAlign w:val="center"/>
          </w:tcPr>
          <w:p w:rsidR="00DC1467" w:rsidRDefault="00B70D3E">
            <w:pPr>
              <w:spacing w:line="240" w:lineRule="auto"/>
              <w:ind w:firstLine="0"/>
              <w:jc w:val="left"/>
              <w:rPr>
                <w:color w:val="000000"/>
                <w:sz w:val="24"/>
                <w:szCs w:val="24"/>
              </w:rPr>
            </w:pPr>
            <w:r>
              <w:rPr>
                <w:color w:val="000000"/>
                <w:sz w:val="24"/>
                <w:szCs w:val="24"/>
              </w:rPr>
              <w:t>25-29</w:t>
            </w:r>
          </w:p>
        </w:tc>
        <w:tc>
          <w:tcPr>
            <w:tcW w:w="1843" w:type="dxa"/>
            <w:tcBorders>
              <w:top w:val="none" w:sz="4" w:space="0" w:color="000000"/>
              <w:left w:val="none" w:sz="4" w:space="0" w:color="000000"/>
              <w:bottom w:val="single" w:sz="4" w:space="0" w:color="auto"/>
              <w:right w:val="single" w:sz="4" w:space="0" w:color="auto"/>
            </w:tcBorders>
            <w:shd w:val="clear" w:color="auto" w:fill="auto"/>
            <w:vAlign w:val="center"/>
          </w:tcPr>
          <w:p w:rsidR="00DC1467" w:rsidRDefault="00B70D3E">
            <w:pPr>
              <w:spacing w:line="240" w:lineRule="auto"/>
              <w:ind w:firstLine="0"/>
              <w:jc w:val="center"/>
              <w:rPr>
                <w:color w:val="000000"/>
                <w:sz w:val="24"/>
                <w:szCs w:val="24"/>
              </w:rPr>
            </w:pPr>
            <w:r>
              <w:rPr>
                <w:color w:val="000000"/>
                <w:sz w:val="24"/>
                <w:szCs w:val="24"/>
              </w:rPr>
              <w:t>95 675</w:t>
            </w:r>
          </w:p>
        </w:tc>
        <w:tc>
          <w:tcPr>
            <w:tcW w:w="1701" w:type="dxa"/>
            <w:tcBorders>
              <w:top w:val="none" w:sz="4" w:space="0" w:color="000000"/>
              <w:left w:val="none" w:sz="4" w:space="0" w:color="000000"/>
              <w:bottom w:val="single" w:sz="4" w:space="0" w:color="auto"/>
              <w:right w:val="single" w:sz="4" w:space="0" w:color="auto"/>
            </w:tcBorders>
            <w:shd w:val="clear" w:color="auto" w:fill="auto"/>
            <w:vAlign w:val="center"/>
          </w:tcPr>
          <w:p w:rsidR="00DC1467" w:rsidRDefault="00B70D3E">
            <w:pPr>
              <w:spacing w:line="240" w:lineRule="auto"/>
              <w:ind w:firstLine="0"/>
              <w:jc w:val="center"/>
              <w:rPr>
                <w:color w:val="000000"/>
                <w:sz w:val="24"/>
                <w:szCs w:val="24"/>
              </w:rPr>
            </w:pPr>
            <w:r>
              <w:rPr>
                <w:color w:val="000000"/>
                <w:sz w:val="24"/>
                <w:szCs w:val="24"/>
              </w:rPr>
              <w:t>49 419</w:t>
            </w:r>
          </w:p>
        </w:tc>
        <w:tc>
          <w:tcPr>
            <w:tcW w:w="1701" w:type="dxa"/>
            <w:tcBorders>
              <w:top w:val="none" w:sz="4" w:space="0" w:color="000000"/>
              <w:left w:val="none" w:sz="4" w:space="0" w:color="000000"/>
              <w:bottom w:val="single" w:sz="4" w:space="0" w:color="auto"/>
              <w:right w:val="single" w:sz="4" w:space="0" w:color="auto"/>
            </w:tcBorders>
            <w:shd w:val="clear" w:color="auto" w:fill="auto"/>
            <w:vAlign w:val="center"/>
          </w:tcPr>
          <w:p w:rsidR="00DC1467" w:rsidRDefault="00B70D3E">
            <w:pPr>
              <w:spacing w:line="240" w:lineRule="auto"/>
              <w:ind w:firstLine="0"/>
              <w:jc w:val="center"/>
              <w:rPr>
                <w:color w:val="000000"/>
                <w:sz w:val="24"/>
                <w:szCs w:val="24"/>
              </w:rPr>
            </w:pPr>
            <w:r>
              <w:rPr>
                <w:color w:val="000000"/>
                <w:sz w:val="24"/>
                <w:szCs w:val="24"/>
              </w:rPr>
              <w:t>46 256</w:t>
            </w:r>
          </w:p>
        </w:tc>
      </w:tr>
      <w:tr w:rsidR="00DC1467">
        <w:trPr>
          <w:trHeight w:val="227"/>
        </w:trPr>
        <w:tc>
          <w:tcPr>
            <w:tcW w:w="3984" w:type="dxa"/>
            <w:tcBorders>
              <w:top w:val="none" w:sz="4" w:space="0" w:color="000000"/>
              <w:left w:val="single" w:sz="4" w:space="0" w:color="auto"/>
              <w:bottom w:val="single" w:sz="4" w:space="0" w:color="auto"/>
              <w:right w:val="single" w:sz="4" w:space="0" w:color="auto"/>
            </w:tcBorders>
            <w:shd w:val="clear" w:color="auto" w:fill="auto"/>
            <w:vAlign w:val="center"/>
          </w:tcPr>
          <w:p w:rsidR="00DC1467" w:rsidRDefault="00B70D3E">
            <w:pPr>
              <w:spacing w:line="240" w:lineRule="auto"/>
              <w:ind w:firstLine="0"/>
              <w:jc w:val="left"/>
              <w:rPr>
                <w:color w:val="000000"/>
                <w:sz w:val="24"/>
                <w:szCs w:val="24"/>
              </w:rPr>
            </w:pPr>
            <w:r>
              <w:rPr>
                <w:color w:val="000000"/>
                <w:sz w:val="24"/>
                <w:szCs w:val="24"/>
              </w:rPr>
              <w:t>30-34</w:t>
            </w:r>
          </w:p>
        </w:tc>
        <w:tc>
          <w:tcPr>
            <w:tcW w:w="1843" w:type="dxa"/>
            <w:tcBorders>
              <w:top w:val="none" w:sz="4" w:space="0" w:color="000000"/>
              <w:left w:val="none" w:sz="4" w:space="0" w:color="000000"/>
              <w:bottom w:val="single" w:sz="4" w:space="0" w:color="auto"/>
              <w:right w:val="single" w:sz="4" w:space="0" w:color="auto"/>
            </w:tcBorders>
            <w:shd w:val="clear" w:color="auto" w:fill="auto"/>
            <w:vAlign w:val="center"/>
          </w:tcPr>
          <w:p w:rsidR="00DC1467" w:rsidRDefault="00B70D3E">
            <w:pPr>
              <w:spacing w:line="240" w:lineRule="auto"/>
              <w:ind w:firstLine="0"/>
              <w:jc w:val="center"/>
              <w:rPr>
                <w:color w:val="000000"/>
                <w:sz w:val="24"/>
                <w:szCs w:val="24"/>
              </w:rPr>
            </w:pPr>
            <w:r>
              <w:rPr>
                <w:color w:val="000000"/>
                <w:sz w:val="24"/>
                <w:szCs w:val="24"/>
              </w:rPr>
              <w:t>134 938</w:t>
            </w:r>
          </w:p>
        </w:tc>
        <w:tc>
          <w:tcPr>
            <w:tcW w:w="1701" w:type="dxa"/>
            <w:tcBorders>
              <w:top w:val="none" w:sz="4" w:space="0" w:color="000000"/>
              <w:left w:val="none" w:sz="4" w:space="0" w:color="000000"/>
              <w:bottom w:val="single" w:sz="4" w:space="0" w:color="auto"/>
              <w:right w:val="single" w:sz="4" w:space="0" w:color="auto"/>
            </w:tcBorders>
            <w:shd w:val="clear" w:color="auto" w:fill="auto"/>
            <w:vAlign w:val="center"/>
          </w:tcPr>
          <w:p w:rsidR="00DC1467" w:rsidRDefault="00B70D3E">
            <w:pPr>
              <w:spacing w:line="240" w:lineRule="auto"/>
              <w:ind w:firstLine="0"/>
              <w:jc w:val="center"/>
              <w:rPr>
                <w:color w:val="000000"/>
                <w:sz w:val="24"/>
                <w:szCs w:val="24"/>
              </w:rPr>
            </w:pPr>
            <w:r>
              <w:rPr>
                <w:color w:val="000000"/>
                <w:sz w:val="24"/>
                <w:szCs w:val="24"/>
              </w:rPr>
              <w:t>66 998</w:t>
            </w:r>
          </w:p>
        </w:tc>
        <w:tc>
          <w:tcPr>
            <w:tcW w:w="1701" w:type="dxa"/>
            <w:tcBorders>
              <w:top w:val="none" w:sz="4" w:space="0" w:color="000000"/>
              <w:left w:val="none" w:sz="4" w:space="0" w:color="000000"/>
              <w:bottom w:val="single" w:sz="4" w:space="0" w:color="auto"/>
              <w:right w:val="single" w:sz="4" w:space="0" w:color="auto"/>
            </w:tcBorders>
            <w:shd w:val="clear" w:color="auto" w:fill="auto"/>
            <w:vAlign w:val="center"/>
          </w:tcPr>
          <w:p w:rsidR="00DC1467" w:rsidRDefault="00B70D3E">
            <w:pPr>
              <w:spacing w:line="240" w:lineRule="auto"/>
              <w:ind w:firstLine="0"/>
              <w:jc w:val="center"/>
              <w:rPr>
                <w:color w:val="000000"/>
                <w:sz w:val="24"/>
                <w:szCs w:val="24"/>
              </w:rPr>
            </w:pPr>
            <w:r>
              <w:rPr>
                <w:color w:val="000000"/>
                <w:sz w:val="24"/>
                <w:szCs w:val="24"/>
              </w:rPr>
              <w:t>67 940</w:t>
            </w:r>
          </w:p>
        </w:tc>
      </w:tr>
      <w:tr w:rsidR="00DC1467">
        <w:trPr>
          <w:trHeight w:val="227"/>
        </w:trPr>
        <w:tc>
          <w:tcPr>
            <w:tcW w:w="3984" w:type="dxa"/>
            <w:tcBorders>
              <w:top w:val="none" w:sz="4" w:space="0" w:color="000000"/>
              <w:left w:val="single" w:sz="4" w:space="0" w:color="auto"/>
              <w:bottom w:val="single" w:sz="4" w:space="0" w:color="auto"/>
              <w:right w:val="single" w:sz="4" w:space="0" w:color="auto"/>
            </w:tcBorders>
            <w:shd w:val="clear" w:color="auto" w:fill="auto"/>
            <w:vAlign w:val="center"/>
          </w:tcPr>
          <w:p w:rsidR="00DC1467" w:rsidRDefault="00B70D3E">
            <w:pPr>
              <w:spacing w:line="240" w:lineRule="auto"/>
              <w:ind w:firstLine="0"/>
              <w:jc w:val="left"/>
              <w:rPr>
                <w:color w:val="000000"/>
                <w:sz w:val="24"/>
                <w:szCs w:val="24"/>
              </w:rPr>
            </w:pPr>
            <w:r>
              <w:rPr>
                <w:color w:val="000000"/>
                <w:sz w:val="24"/>
                <w:szCs w:val="24"/>
              </w:rPr>
              <w:t>35-39</w:t>
            </w:r>
          </w:p>
        </w:tc>
        <w:tc>
          <w:tcPr>
            <w:tcW w:w="1843" w:type="dxa"/>
            <w:tcBorders>
              <w:top w:val="none" w:sz="4" w:space="0" w:color="000000"/>
              <w:left w:val="none" w:sz="4" w:space="0" w:color="000000"/>
              <w:bottom w:val="single" w:sz="4" w:space="0" w:color="auto"/>
              <w:right w:val="single" w:sz="4" w:space="0" w:color="auto"/>
            </w:tcBorders>
            <w:shd w:val="clear" w:color="auto" w:fill="auto"/>
            <w:vAlign w:val="center"/>
          </w:tcPr>
          <w:p w:rsidR="00DC1467" w:rsidRDefault="00B70D3E">
            <w:pPr>
              <w:spacing w:line="240" w:lineRule="auto"/>
              <w:ind w:firstLine="0"/>
              <w:jc w:val="center"/>
              <w:rPr>
                <w:color w:val="000000"/>
                <w:sz w:val="24"/>
                <w:szCs w:val="24"/>
              </w:rPr>
            </w:pPr>
            <w:r>
              <w:rPr>
                <w:color w:val="000000"/>
                <w:sz w:val="24"/>
                <w:szCs w:val="24"/>
              </w:rPr>
              <w:t>169 455</w:t>
            </w:r>
          </w:p>
        </w:tc>
        <w:tc>
          <w:tcPr>
            <w:tcW w:w="1701" w:type="dxa"/>
            <w:tcBorders>
              <w:top w:val="none" w:sz="4" w:space="0" w:color="000000"/>
              <w:left w:val="none" w:sz="4" w:space="0" w:color="000000"/>
              <w:bottom w:val="single" w:sz="4" w:space="0" w:color="auto"/>
              <w:right w:val="single" w:sz="4" w:space="0" w:color="auto"/>
            </w:tcBorders>
            <w:shd w:val="clear" w:color="auto" w:fill="auto"/>
            <w:vAlign w:val="center"/>
          </w:tcPr>
          <w:p w:rsidR="00DC1467" w:rsidRDefault="00B70D3E">
            <w:pPr>
              <w:spacing w:line="240" w:lineRule="auto"/>
              <w:ind w:firstLine="0"/>
              <w:jc w:val="center"/>
              <w:rPr>
                <w:color w:val="000000"/>
                <w:sz w:val="24"/>
                <w:szCs w:val="24"/>
              </w:rPr>
            </w:pPr>
            <w:r>
              <w:rPr>
                <w:color w:val="000000"/>
                <w:sz w:val="24"/>
                <w:szCs w:val="24"/>
              </w:rPr>
              <w:t>83 725</w:t>
            </w:r>
          </w:p>
        </w:tc>
        <w:tc>
          <w:tcPr>
            <w:tcW w:w="1701" w:type="dxa"/>
            <w:tcBorders>
              <w:top w:val="none" w:sz="4" w:space="0" w:color="000000"/>
              <w:left w:val="none" w:sz="4" w:space="0" w:color="000000"/>
              <w:bottom w:val="single" w:sz="4" w:space="0" w:color="auto"/>
              <w:right w:val="single" w:sz="4" w:space="0" w:color="auto"/>
            </w:tcBorders>
            <w:shd w:val="clear" w:color="auto" w:fill="auto"/>
            <w:vAlign w:val="center"/>
          </w:tcPr>
          <w:p w:rsidR="00DC1467" w:rsidRDefault="00B70D3E">
            <w:pPr>
              <w:spacing w:line="240" w:lineRule="auto"/>
              <w:ind w:firstLine="0"/>
              <w:jc w:val="center"/>
              <w:rPr>
                <w:color w:val="000000"/>
                <w:sz w:val="24"/>
                <w:szCs w:val="24"/>
              </w:rPr>
            </w:pPr>
            <w:r>
              <w:rPr>
                <w:color w:val="000000"/>
                <w:sz w:val="24"/>
                <w:szCs w:val="24"/>
              </w:rPr>
              <w:t>85 730</w:t>
            </w:r>
          </w:p>
        </w:tc>
      </w:tr>
      <w:tr w:rsidR="00DC1467">
        <w:trPr>
          <w:trHeight w:val="227"/>
        </w:trPr>
        <w:tc>
          <w:tcPr>
            <w:tcW w:w="3984" w:type="dxa"/>
            <w:tcBorders>
              <w:top w:val="none" w:sz="4" w:space="0" w:color="000000"/>
              <w:left w:val="single" w:sz="4" w:space="0" w:color="auto"/>
              <w:bottom w:val="single" w:sz="4" w:space="0" w:color="auto"/>
              <w:right w:val="single" w:sz="4" w:space="0" w:color="auto"/>
            </w:tcBorders>
            <w:shd w:val="clear" w:color="auto" w:fill="auto"/>
            <w:vAlign w:val="center"/>
          </w:tcPr>
          <w:p w:rsidR="00DC1467" w:rsidRDefault="00B70D3E">
            <w:pPr>
              <w:spacing w:line="240" w:lineRule="auto"/>
              <w:ind w:firstLine="0"/>
              <w:jc w:val="left"/>
              <w:rPr>
                <w:color w:val="000000"/>
                <w:sz w:val="24"/>
                <w:szCs w:val="24"/>
              </w:rPr>
            </w:pPr>
            <w:r>
              <w:rPr>
                <w:color w:val="000000"/>
                <w:sz w:val="24"/>
                <w:szCs w:val="24"/>
              </w:rPr>
              <w:t>40-44</w:t>
            </w:r>
          </w:p>
        </w:tc>
        <w:tc>
          <w:tcPr>
            <w:tcW w:w="1843" w:type="dxa"/>
            <w:tcBorders>
              <w:top w:val="none" w:sz="4" w:space="0" w:color="000000"/>
              <w:left w:val="none" w:sz="4" w:space="0" w:color="000000"/>
              <w:bottom w:val="single" w:sz="4" w:space="0" w:color="auto"/>
              <w:right w:val="single" w:sz="4" w:space="0" w:color="auto"/>
            </w:tcBorders>
            <w:shd w:val="clear" w:color="auto" w:fill="auto"/>
            <w:vAlign w:val="center"/>
          </w:tcPr>
          <w:p w:rsidR="00DC1467" w:rsidRDefault="00B70D3E">
            <w:pPr>
              <w:spacing w:line="240" w:lineRule="auto"/>
              <w:ind w:firstLine="0"/>
              <w:jc w:val="center"/>
              <w:rPr>
                <w:color w:val="000000"/>
                <w:sz w:val="24"/>
                <w:szCs w:val="24"/>
              </w:rPr>
            </w:pPr>
            <w:r>
              <w:rPr>
                <w:color w:val="000000"/>
                <w:sz w:val="24"/>
                <w:szCs w:val="24"/>
              </w:rPr>
              <w:t>150 397</w:t>
            </w:r>
          </w:p>
        </w:tc>
        <w:tc>
          <w:tcPr>
            <w:tcW w:w="1701" w:type="dxa"/>
            <w:tcBorders>
              <w:top w:val="none" w:sz="4" w:space="0" w:color="000000"/>
              <w:left w:val="none" w:sz="4" w:space="0" w:color="000000"/>
              <w:bottom w:val="single" w:sz="4" w:space="0" w:color="auto"/>
              <w:right w:val="single" w:sz="4" w:space="0" w:color="auto"/>
            </w:tcBorders>
            <w:shd w:val="clear" w:color="auto" w:fill="auto"/>
            <w:vAlign w:val="center"/>
          </w:tcPr>
          <w:p w:rsidR="00DC1467" w:rsidRDefault="00B70D3E">
            <w:pPr>
              <w:spacing w:line="240" w:lineRule="auto"/>
              <w:ind w:firstLine="0"/>
              <w:jc w:val="center"/>
              <w:rPr>
                <w:color w:val="000000"/>
                <w:sz w:val="24"/>
                <w:szCs w:val="24"/>
              </w:rPr>
            </w:pPr>
            <w:r>
              <w:rPr>
                <w:color w:val="000000"/>
                <w:sz w:val="24"/>
                <w:szCs w:val="24"/>
              </w:rPr>
              <w:t>72 421</w:t>
            </w:r>
          </w:p>
        </w:tc>
        <w:tc>
          <w:tcPr>
            <w:tcW w:w="1701" w:type="dxa"/>
            <w:tcBorders>
              <w:top w:val="none" w:sz="4" w:space="0" w:color="000000"/>
              <w:left w:val="none" w:sz="4" w:space="0" w:color="000000"/>
              <w:bottom w:val="single" w:sz="4" w:space="0" w:color="auto"/>
              <w:right w:val="single" w:sz="4" w:space="0" w:color="auto"/>
            </w:tcBorders>
            <w:shd w:val="clear" w:color="auto" w:fill="auto"/>
            <w:vAlign w:val="center"/>
          </w:tcPr>
          <w:p w:rsidR="00DC1467" w:rsidRDefault="00B70D3E">
            <w:pPr>
              <w:spacing w:line="240" w:lineRule="auto"/>
              <w:ind w:firstLine="0"/>
              <w:jc w:val="center"/>
              <w:rPr>
                <w:color w:val="000000"/>
                <w:sz w:val="24"/>
                <w:szCs w:val="24"/>
              </w:rPr>
            </w:pPr>
            <w:r>
              <w:rPr>
                <w:color w:val="000000"/>
                <w:sz w:val="24"/>
                <w:szCs w:val="24"/>
              </w:rPr>
              <w:t>77 976</w:t>
            </w:r>
          </w:p>
        </w:tc>
      </w:tr>
      <w:tr w:rsidR="00DC1467">
        <w:trPr>
          <w:trHeight w:val="227"/>
        </w:trPr>
        <w:tc>
          <w:tcPr>
            <w:tcW w:w="3984" w:type="dxa"/>
            <w:tcBorders>
              <w:top w:val="none" w:sz="4" w:space="0" w:color="000000"/>
              <w:left w:val="single" w:sz="4" w:space="0" w:color="auto"/>
              <w:bottom w:val="single" w:sz="4" w:space="0" w:color="auto"/>
              <w:right w:val="single" w:sz="4" w:space="0" w:color="auto"/>
            </w:tcBorders>
            <w:shd w:val="clear" w:color="auto" w:fill="auto"/>
            <w:vAlign w:val="center"/>
          </w:tcPr>
          <w:p w:rsidR="00DC1467" w:rsidRDefault="00B70D3E">
            <w:pPr>
              <w:spacing w:line="240" w:lineRule="auto"/>
              <w:ind w:firstLine="0"/>
              <w:jc w:val="left"/>
              <w:rPr>
                <w:color w:val="000000"/>
                <w:sz w:val="24"/>
                <w:szCs w:val="24"/>
              </w:rPr>
            </w:pPr>
            <w:r>
              <w:rPr>
                <w:color w:val="000000"/>
                <w:sz w:val="24"/>
                <w:szCs w:val="24"/>
              </w:rPr>
              <w:t>45-49</w:t>
            </w:r>
          </w:p>
        </w:tc>
        <w:tc>
          <w:tcPr>
            <w:tcW w:w="1843" w:type="dxa"/>
            <w:tcBorders>
              <w:top w:val="none" w:sz="4" w:space="0" w:color="000000"/>
              <w:left w:val="none" w:sz="4" w:space="0" w:color="000000"/>
              <w:bottom w:val="single" w:sz="4" w:space="0" w:color="auto"/>
              <w:right w:val="single" w:sz="4" w:space="0" w:color="auto"/>
            </w:tcBorders>
            <w:shd w:val="clear" w:color="auto" w:fill="auto"/>
            <w:vAlign w:val="center"/>
          </w:tcPr>
          <w:p w:rsidR="00DC1467" w:rsidRDefault="00B70D3E">
            <w:pPr>
              <w:spacing w:line="240" w:lineRule="auto"/>
              <w:ind w:firstLine="0"/>
              <w:jc w:val="center"/>
              <w:rPr>
                <w:color w:val="000000"/>
                <w:sz w:val="24"/>
                <w:szCs w:val="24"/>
              </w:rPr>
            </w:pPr>
            <w:r>
              <w:rPr>
                <w:color w:val="000000"/>
                <w:sz w:val="24"/>
                <w:szCs w:val="24"/>
              </w:rPr>
              <w:t>130 210</w:t>
            </w:r>
          </w:p>
        </w:tc>
        <w:tc>
          <w:tcPr>
            <w:tcW w:w="1701" w:type="dxa"/>
            <w:tcBorders>
              <w:top w:val="none" w:sz="4" w:space="0" w:color="000000"/>
              <w:left w:val="none" w:sz="4" w:space="0" w:color="000000"/>
              <w:bottom w:val="single" w:sz="4" w:space="0" w:color="auto"/>
              <w:right w:val="single" w:sz="4" w:space="0" w:color="auto"/>
            </w:tcBorders>
            <w:shd w:val="clear" w:color="auto" w:fill="auto"/>
            <w:vAlign w:val="center"/>
          </w:tcPr>
          <w:p w:rsidR="00DC1467" w:rsidRDefault="00B70D3E">
            <w:pPr>
              <w:spacing w:line="240" w:lineRule="auto"/>
              <w:ind w:firstLine="0"/>
              <w:jc w:val="center"/>
              <w:rPr>
                <w:color w:val="000000"/>
                <w:sz w:val="24"/>
                <w:szCs w:val="24"/>
              </w:rPr>
            </w:pPr>
            <w:r>
              <w:rPr>
                <w:color w:val="000000"/>
                <w:sz w:val="24"/>
                <w:szCs w:val="24"/>
              </w:rPr>
              <w:t>61 775</w:t>
            </w:r>
          </w:p>
        </w:tc>
        <w:tc>
          <w:tcPr>
            <w:tcW w:w="1701" w:type="dxa"/>
            <w:tcBorders>
              <w:top w:val="none" w:sz="4" w:space="0" w:color="000000"/>
              <w:left w:val="none" w:sz="4" w:space="0" w:color="000000"/>
              <w:bottom w:val="single" w:sz="4" w:space="0" w:color="auto"/>
              <w:right w:val="single" w:sz="4" w:space="0" w:color="auto"/>
            </w:tcBorders>
            <w:shd w:val="clear" w:color="auto" w:fill="auto"/>
            <w:vAlign w:val="center"/>
          </w:tcPr>
          <w:p w:rsidR="00DC1467" w:rsidRDefault="00B70D3E">
            <w:pPr>
              <w:spacing w:line="240" w:lineRule="auto"/>
              <w:ind w:firstLine="0"/>
              <w:jc w:val="center"/>
              <w:rPr>
                <w:color w:val="000000"/>
                <w:sz w:val="24"/>
                <w:szCs w:val="24"/>
              </w:rPr>
            </w:pPr>
            <w:r>
              <w:rPr>
                <w:color w:val="000000"/>
                <w:sz w:val="24"/>
                <w:szCs w:val="24"/>
              </w:rPr>
              <w:t>68 435</w:t>
            </w:r>
          </w:p>
        </w:tc>
      </w:tr>
      <w:tr w:rsidR="00DC1467">
        <w:trPr>
          <w:trHeight w:val="227"/>
        </w:trPr>
        <w:tc>
          <w:tcPr>
            <w:tcW w:w="3984" w:type="dxa"/>
            <w:tcBorders>
              <w:top w:val="none" w:sz="4" w:space="0" w:color="000000"/>
              <w:left w:val="single" w:sz="4" w:space="0" w:color="auto"/>
              <w:bottom w:val="single" w:sz="4" w:space="0" w:color="auto"/>
              <w:right w:val="single" w:sz="4" w:space="0" w:color="auto"/>
            </w:tcBorders>
            <w:shd w:val="clear" w:color="auto" w:fill="auto"/>
            <w:vAlign w:val="center"/>
          </w:tcPr>
          <w:p w:rsidR="00DC1467" w:rsidRDefault="00B70D3E">
            <w:pPr>
              <w:spacing w:line="240" w:lineRule="auto"/>
              <w:ind w:firstLine="0"/>
              <w:jc w:val="left"/>
              <w:rPr>
                <w:color w:val="000000"/>
                <w:sz w:val="24"/>
                <w:szCs w:val="24"/>
              </w:rPr>
            </w:pPr>
            <w:r>
              <w:rPr>
                <w:color w:val="000000"/>
                <w:sz w:val="24"/>
                <w:szCs w:val="24"/>
              </w:rPr>
              <w:t>50 и старше, из них:</w:t>
            </w:r>
          </w:p>
        </w:tc>
        <w:tc>
          <w:tcPr>
            <w:tcW w:w="1843" w:type="dxa"/>
            <w:tcBorders>
              <w:top w:val="none" w:sz="4" w:space="0" w:color="000000"/>
              <w:left w:val="none" w:sz="4" w:space="0" w:color="000000"/>
              <w:bottom w:val="single" w:sz="4" w:space="0" w:color="auto"/>
              <w:right w:val="single" w:sz="4" w:space="0" w:color="auto"/>
            </w:tcBorders>
            <w:shd w:val="clear" w:color="auto" w:fill="auto"/>
            <w:vAlign w:val="center"/>
          </w:tcPr>
          <w:p w:rsidR="00DC1467" w:rsidRDefault="00B70D3E">
            <w:pPr>
              <w:spacing w:line="240" w:lineRule="auto"/>
              <w:ind w:firstLine="0"/>
              <w:jc w:val="center"/>
              <w:rPr>
                <w:color w:val="000000"/>
                <w:sz w:val="24"/>
                <w:szCs w:val="24"/>
              </w:rPr>
            </w:pPr>
            <w:r>
              <w:rPr>
                <w:color w:val="000000"/>
                <w:sz w:val="24"/>
                <w:szCs w:val="24"/>
              </w:rPr>
              <w:t>489 505</w:t>
            </w:r>
          </w:p>
        </w:tc>
        <w:tc>
          <w:tcPr>
            <w:tcW w:w="1701" w:type="dxa"/>
            <w:tcBorders>
              <w:top w:val="none" w:sz="4" w:space="0" w:color="000000"/>
              <w:left w:val="none" w:sz="4" w:space="0" w:color="000000"/>
              <w:bottom w:val="single" w:sz="4" w:space="0" w:color="auto"/>
              <w:right w:val="single" w:sz="4" w:space="0" w:color="auto"/>
            </w:tcBorders>
            <w:shd w:val="clear" w:color="auto" w:fill="auto"/>
            <w:vAlign w:val="center"/>
          </w:tcPr>
          <w:p w:rsidR="00DC1467" w:rsidRDefault="00B70D3E">
            <w:pPr>
              <w:spacing w:line="240" w:lineRule="auto"/>
              <w:ind w:firstLine="0"/>
              <w:jc w:val="center"/>
              <w:rPr>
                <w:color w:val="000000"/>
                <w:sz w:val="24"/>
                <w:szCs w:val="24"/>
              </w:rPr>
            </w:pPr>
            <w:r>
              <w:rPr>
                <w:color w:val="000000"/>
                <w:sz w:val="24"/>
                <w:szCs w:val="24"/>
              </w:rPr>
              <w:t>213 571</w:t>
            </w:r>
          </w:p>
        </w:tc>
        <w:tc>
          <w:tcPr>
            <w:tcW w:w="1701" w:type="dxa"/>
            <w:tcBorders>
              <w:top w:val="none" w:sz="4" w:space="0" w:color="000000"/>
              <w:left w:val="none" w:sz="4" w:space="0" w:color="000000"/>
              <w:bottom w:val="single" w:sz="4" w:space="0" w:color="auto"/>
              <w:right w:val="single" w:sz="4" w:space="0" w:color="auto"/>
            </w:tcBorders>
            <w:shd w:val="clear" w:color="auto" w:fill="auto"/>
            <w:vAlign w:val="center"/>
          </w:tcPr>
          <w:p w:rsidR="00DC1467" w:rsidRDefault="00B70D3E">
            <w:pPr>
              <w:spacing w:line="240" w:lineRule="auto"/>
              <w:ind w:firstLine="0"/>
              <w:jc w:val="center"/>
              <w:rPr>
                <w:color w:val="000000"/>
                <w:sz w:val="24"/>
                <w:szCs w:val="24"/>
              </w:rPr>
            </w:pPr>
            <w:r>
              <w:rPr>
                <w:color w:val="000000"/>
                <w:sz w:val="24"/>
                <w:szCs w:val="24"/>
              </w:rPr>
              <w:t>275 934</w:t>
            </w:r>
          </w:p>
        </w:tc>
      </w:tr>
      <w:tr w:rsidR="00DC1467">
        <w:trPr>
          <w:trHeight w:val="227"/>
        </w:trPr>
        <w:tc>
          <w:tcPr>
            <w:tcW w:w="3984" w:type="dxa"/>
            <w:tcBorders>
              <w:top w:val="none" w:sz="4" w:space="0" w:color="000000"/>
              <w:left w:val="single" w:sz="4" w:space="0" w:color="auto"/>
              <w:bottom w:val="single" w:sz="4" w:space="0" w:color="auto"/>
              <w:right w:val="single" w:sz="4" w:space="0" w:color="auto"/>
            </w:tcBorders>
            <w:shd w:val="clear" w:color="auto" w:fill="auto"/>
            <w:vAlign w:val="center"/>
          </w:tcPr>
          <w:p w:rsidR="00DC1467" w:rsidRDefault="00B70D3E">
            <w:pPr>
              <w:spacing w:line="240" w:lineRule="auto"/>
              <w:ind w:firstLine="720"/>
              <w:jc w:val="left"/>
              <w:rPr>
                <w:color w:val="000000"/>
                <w:sz w:val="24"/>
                <w:szCs w:val="24"/>
              </w:rPr>
            </w:pPr>
            <w:r>
              <w:rPr>
                <w:color w:val="000000"/>
                <w:sz w:val="24"/>
                <w:szCs w:val="24"/>
              </w:rPr>
              <w:t>50-54</w:t>
            </w:r>
          </w:p>
        </w:tc>
        <w:tc>
          <w:tcPr>
            <w:tcW w:w="1843" w:type="dxa"/>
            <w:tcBorders>
              <w:top w:val="none" w:sz="4" w:space="0" w:color="000000"/>
              <w:left w:val="none" w:sz="4" w:space="0" w:color="000000"/>
              <w:bottom w:val="single" w:sz="4" w:space="0" w:color="auto"/>
              <w:right w:val="single" w:sz="4" w:space="0" w:color="auto"/>
            </w:tcBorders>
            <w:shd w:val="clear" w:color="auto" w:fill="auto"/>
            <w:vAlign w:val="center"/>
          </w:tcPr>
          <w:p w:rsidR="00DC1467" w:rsidRDefault="00B70D3E">
            <w:pPr>
              <w:spacing w:line="240" w:lineRule="auto"/>
              <w:ind w:firstLine="0"/>
              <w:jc w:val="center"/>
              <w:rPr>
                <w:color w:val="000000"/>
                <w:sz w:val="24"/>
                <w:szCs w:val="24"/>
              </w:rPr>
            </w:pPr>
            <w:r>
              <w:rPr>
                <w:color w:val="000000"/>
                <w:sz w:val="24"/>
                <w:szCs w:val="24"/>
              </w:rPr>
              <w:t>113 011</w:t>
            </w:r>
          </w:p>
        </w:tc>
        <w:tc>
          <w:tcPr>
            <w:tcW w:w="1701" w:type="dxa"/>
            <w:tcBorders>
              <w:top w:val="none" w:sz="4" w:space="0" w:color="000000"/>
              <w:left w:val="none" w:sz="4" w:space="0" w:color="000000"/>
              <w:bottom w:val="single" w:sz="4" w:space="0" w:color="auto"/>
              <w:right w:val="single" w:sz="4" w:space="0" w:color="auto"/>
            </w:tcBorders>
            <w:shd w:val="clear" w:color="auto" w:fill="auto"/>
            <w:vAlign w:val="center"/>
          </w:tcPr>
          <w:p w:rsidR="00DC1467" w:rsidRDefault="00B70D3E">
            <w:pPr>
              <w:spacing w:line="240" w:lineRule="auto"/>
              <w:ind w:firstLine="0"/>
              <w:jc w:val="center"/>
              <w:rPr>
                <w:color w:val="000000"/>
                <w:sz w:val="24"/>
                <w:szCs w:val="24"/>
              </w:rPr>
            </w:pPr>
            <w:r>
              <w:rPr>
                <w:color w:val="000000"/>
                <w:sz w:val="24"/>
                <w:szCs w:val="24"/>
              </w:rPr>
              <w:t>54 516</w:t>
            </w:r>
          </w:p>
        </w:tc>
        <w:tc>
          <w:tcPr>
            <w:tcW w:w="1701" w:type="dxa"/>
            <w:tcBorders>
              <w:top w:val="none" w:sz="4" w:space="0" w:color="000000"/>
              <w:left w:val="none" w:sz="4" w:space="0" w:color="000000"/>
              <w:bottom w:val="single" w:sz="4" w:space="0" w:color="auto"/>
              <w:right w:val="single" w:sz="4" w:space="0" w:color="auto"/>
            </w:tcBorders>
            <w:shd w:val="clear" w:color="auto" w:fill="auto"/>
            <w:vAlign w:val="center"/>
          </w:tcPr>
          <w:p w:rsidR="00DC1467" w:rsidRDefault="00B70D3E">
            <w:pPr>
              <w:spacing w:line="240" w:lineRule="auto"/>
              <w:ind w:firstLine="0"/>
              <w:jc w:val="center"/>
              <w:rPr>
                <w:color w:val="000000"/>
                <w:sz w:val="24"/>
                <w:szCs w:val="24"/>
              </w:rPr>
            </w:pPr>
            <w:r>
              <w:rPr>
                <w:color w:val="000000"/>
                <w:sz w:val="24"/>
                <w:szCs w:val="24"/>
              </w:rPr>
              <w:t>58 495</w:t>
            </w:r>
          </w:p>
        </w:tc>
      </w:tr>
      <w:tr w:rsidR="00DC1467">
        <w:trPr>
          <w:trHeight w:val="227"/>
        </w:trPr>
        <w:tc>
          <w:tcPr>
            <w:tcW w:w="3984" w:type="dxa"/>
            <w:tcBorders>
              <w:top w:val="none" w:sz="4" w:space="0" w:color="000000"/>
              <w:left w:val="single" w:sz="4" w:space="0" w:color="auto"/>
              <w:bottom w:val="single" w:sz="4" w:space="0" w:color="auto"/>
              <w:right w:val="single" w:sz="4" w:space="0" w:color="auto"/>
            </w:tcBorders>
            <w:shd w:val="clear" w:color="auto" w:fill="auto"/>
            <w:vAlign w:val="center"/>
          </w:tcPr>
          <w:p w:rsidR="00DC1467" w:rsidRDefault="00B70D3E">
            <w:pPr>
              <w:spacing w:line="240" w:lineRule="auto"/>
              <w:ind w:firstLine="720"/>
              <w:jc w:val="left"/>
              <w:rPr>
                <w:color w:val="000000"/>
                <w:sz w:val="24"/>
                <w:szCs w:val="24"/>
              </w:rPr>
            </w:pPr>
            <w:r>
              <w:rPr>
                <w:color w:val="000000"/>
                <w:sz w:val="24"/>
                <w:szCs w:val="24"/>
              </w:rPr>
              <w:t>55-59</w:t>
            </w:r>
          </w:p>
        </w:tc>
        <w:tc>
          <w:tcPr>
            <w:tcW w:w="1843" w:type="dxa"/>
            <w:tcBorders>
              <w:top w:val="none" w:sz="4" w:space="0" w:color="000000"/>
              <w:left w:val="none" w:sz="4" w:space="0" w:color="000000"/>
              <w:bottom w:val="single" w:sz="4" w:space="0" w:color="auto"/>
              <w:right w:val="single" w:sz="4" w:space="0" w:color="auto"/>
            </w:tcBorders>
            <w:shd w:val="clear" w:color="auto" w:fill="auto"/>
            <w:vAlign w:val="center"/>
          </w:tcPr>
          <w:p w:rsidR="00DC1467" w:rsidRDefault="00B70D3E">
            <w:pPr>
              <w:spacing w:line="240" w:lineRule="auto"/>
              <w:ind w:firstLine="0"/>
              <w:jc w:val="center"/>
              <w:rPr>
                <w:color w:val="000000"/>
                <w:sz w:val="24"/>
                <w:szCs w:val="24"/>
              </w:rPr>
            </w:pPr>
            <w:r>
              <w:rPr>
                <w:color w:val="000000"/>
                <w:sz w:val="24"/>
                <w:szCs w:val="24"/>
              </w:rPr>
              <w:t>104 302</w:t>
            </w:r>
          </w:p>
        </w:tc>
        <w:tc>
          <w:tcPr>
            <w:tcW w:w="1701" w:type="dxa"/>
            <w:tcBorders>
              <w:top w:val="none" w:sz="4" w:space="0" w:color="000000"/>
              <w:left w:val="none" w:sz="4" w:space="0" w:color="000000"/>
              <w:bottom w:val="single" w:sz="4" w:space="0" w:color="auto"/>
              <w:right w:val="single" w:sz="4" w:space="0" w:color="auto"/>
            </w:tcBorders>
            <w:shd w:val="clear" w:color="auto" w:fill="auto"/>
            <w:vAlign w:val="center"/>
          </w:tcPr>
          <w:p w:rsidR="00DC1467" w:rsidRDefault="00B70D3E">
            <w:pPr>
              <w:spacing w:line="240" w:lineRule="auto"/>
              <w:ind w:firstLine="0"/>
              <w:jc w:val="center"/>
              <w:rPr>
                <w:color w:val="000000"/>
                <w:sz w:val="24"/>
                <w:szCs w:val="24"/>
              </w:rPr>
            </w:pPr>
            <w:r>
              <w:rPr>
                <w:color w:val="000000"/>
                <w:sz w:val="24"/>
                <w:szCs w:val="24"/>
              </w:rPr>
              <w:t>49 088</w:t>
            </w:r>
          </w:p>
        </w:tc>
        <w:tc>
          <w:tcPr>
            <w:tcW w:w="1701" w:type="dxa"/>
            <w:tcBorders>
              <w:top w:val="none" w:sz="4" w:space="0" w:color="000000"/>
              <w:left w:val="none" w:sz="4" w:space="0" w:color="000000"/>
              <w:bottom w:val="single" w:sz="4" w:space="0" w:color="auto"/>
              <w:right w:val="single" w:sz="4" w:space="0" w:color="auto"/>
            </w:tcBorders>
            <w:shd w:val="clear" w:color="auto" w:fill="auto"/>
            <w:vAlign w:val="center"/>
          </w:tcPr>
          <w:p w:rsidR="00DC1467" w:rsidRDefault="00B70D3E">
            <w:pPr>
              <w:spacing w:line="240" w:lineRule="auto"/>
              <w:ind w:firstLine="0"/>
              <w:jc w:val="center"/>
              <w:rPr>
                <w:color w:val="000000"/>
                <w:sz w:val="24"/>
                <w:szCs w:val="24"/>
              </w:rPr>
            </w:pPr>
            <w:r>
              <w:rPr>
                <w:color w:val="000000"/>
                <w:sz w:val="24"/>
                <w:szCs w:val="24"/>
              </w:rPr>
              <w:t>55 214</w:t>
            </w:r>
          </w:p>
        </w:tc>
      </w:tr>
      <w:tr w:rsidR="00DC1467">
        <w:trPr>
          <w:trHeight w:val="227"/>
        </w:trPr>
        <w:tc>
          <w:tcPr>
            <w:tcW w:w="3984" w:type="dxa"/>
            <w:tcBorders>
              <w:top w:val="none" w:sz="4" w:space="0" w:color="000000"/>
              <w:left w:val="single" w:sz="4" w:space="0" w:color="auto"/>
              <w:bottom w:val="single" w:sz="4" w:space="0" w:color="auto"/>
              <w:right w:val="single" w:sz="4" w:space="0" w:color="auto"/>
            </w:tcBorders>
            <w:shd w:val="clear" w:color="auto" w:fill="auto"/>
            <w:vAlign w:val="center"/>
          </w:tcPr>
          <w:p w:rsidR="00DC1467" w:rsidRDefault="00B70D3E">
            <w:pPr>
              <w:spacing w:line="240" w:lineRule="auto"/>
              <w:ind w:firstLine="720"/>
              <w:jc w:val="left"/>
              <w:rPr>
                <w:color w:val="000000"/>
                <w:sz w:val="24"/>
                <w:szCs w:val="24"/>
              </w:rPr>
            </w:pPr>
            <w:r>
              <w:rPr>
                <w:bCs/>
                <w:color w:val="000000"/>
                <w:sz w:val="24"/>
                <w:szCs w:val="24"/>
              </w:rPr>
              <w:t>60 и старше</w:t>
            </w:r>
          </w:p>
        </w:tc>
        <w:tc>
          <w:tcPr>
            <w:tcW w:w="1843" w:type="dxa"/>
            <w:tcBorders>
              <w:top w:val="none" w:sz="4" w:space="0" w:color="000000"/>
              <w:left w:val="none" w:sz="4" w:space="0" w:color="000000"/>
              <w:bottom w:val="single" w:sz="4" w:space="0" w:color="auto"/>
              <w:right w:val="single" w:sz="4" w:space="0" w:color="auto"/>
            </w:tcBorders>
            <w:shd w:val="clear" w:color="auto" w:fill="auto"/>
            <w:vAlign w:val="center"/>
          </w:tcPr>
          <w:p w:rsidR="00DC1467" w:rsidRDefault="00B70D3E">
            <w:pPr>
              <w:spacing w:line="240" w:lineRule="auto"/>
              <w:ind w:firstLine="0"/>
              <w:jc w:val="center"/>
              <w:rPr>
                <w:color w:val="000000"/>
                <w:sz w:val="24"/>
                <w:szCs w:val="24"/>
              </w:rPr>
            </w:pPr>
            <w:r>
              <w:rPr>
                <w:color w:val="000000"/>
                <w:sz w:val="24"/>
                <w:szCs w:val="24"/>
              </w:rPr>
              <w:t>272 192</w:t>
            </w:r>
          </w:p>
        </w:tc>
        <w:tc>
          <w:tcPr>
            <w:tcW w:w="1701" w:type="dxa"/>
            <w:tcBorders>
              <w:top w:val="none" w:sz="4" w:space="0" w:color="000000"/>
              <w:left w:val="none" w:sz="4" w:space="0" w:color="000000"/>
              <w:bottom w:val="single" w:sz="4" w:space="0" w:color="auto"/>
              <w:right w:val="single" w:sz="4" w:space="0" w:color="auto"/>
            </w:tcBorders>
            <w:shd w:val="clear" w:color="auto" w:fill="auto"/>
            <w:vAlign w:val="center"/>
          </w:tcPr>
          <w:p w:rsidR="00DC1467" w:rsidRDefault="00B70D3E">
            <w:pPr>
              <w:spacing w:line="240" w:lineRule="auto"/>
              <w:ind w:firstLine="0"/>
              <w:jc w:val="center"/>
              <w:rPr>
                <w:color w:val="000000"/>
                <w:sz w:val="24"/>
                <w:szCs w:val="24"/>
              </w:rPr>
            </w:pPr>
            <w:r>
              <w:rPr>
                <w:color w:val="000000"/>
                <w:sz w:val="24"/>
                <w:szCs w:val="24"/>
              </w:rPr>
              <w:t>109 967</w:t>
            </w:r>
          </w:p>
        </w:tc>
        <w:tc>
          <w:tcPr>
            <w:tcW w:w="1701" w:type="dxa"/>
            <w:tcBorders>
              <w:top w:val="none" w:sz="4" w:space="0" w:color="000000"/>
              <w:left w:val="none" w:sz="4" w:space="0" w:color="000000"/>
              <w:bottom w:val="single" w:sz="4" w:space="0" w:color="auto"/>
              <w:right w:val="single" w:sz="4" w:space="0" w:color="auto"/>
            </w:tcBorders>
            <w:shd w:val="clear" w:color="auto" w:fill="auto"/>
            <w:vAlign w:val="center"/>
          </w:tcPr>
          <w:p w:rsidR="00DC1467" w:rsidRDefault="00B70D3E">
            <w:pPr>
              <w:spacing w:line="240" w:lineRule="auto"/>
              <w:ind w:firstLine="0"/>
              <w:jc w:val="center"/>
              <w:rPr>
                <w:color w:val="000000"/>
                <w:sz w:val="24"/>
                <w:szCs w:val="24"/>
              </w:rPr>
            </w:pPr>
            <w:r>
              <w:rPr>
                <w:color w:val="000000"/>
                <w:sz w:val="24"/>
                <w:szCs w:val="24"/>
              </w:rPr>
              <w:t>162 225</w:t>
            </w:r>
          </w:p>
        </w:tc>
      </w:tr>
      <w:tr w:rsidR="00DC1467">
        <w:trPr>
          <w:trHeight w:val="227"/>
        </w:trPr>
        <w:tc>
          <w:tcPr>
            <w:tcW w:w="3984" w:type="dxa"/>
            <w:tcBorders>
              <w:top w:val="none" w:sz="4" w:space="0" w:color="000000"/>
              <w:left w:val="single" w:sz="4" w:space="0" w:color="auto"/>
              <w:bottom w:val="single" w:sz="4" w:space="0" w:color="auto"/>
              <w:right w:val="single" w:sz="4" w:space="0" w:color="auto"/>
            </w:tcBorders>
            <w:shd w:val="clear" w:color="auto" w:fill="auto"/>
            <w:vAlign w:val="center"/>
          </w:tcPr>
          <w:p w:rsidR="00DC1467" w:rsidRDefault="00B70D3E">
            <w:pPr>
              <w:spacing w:line="240" w:lineRule="auto"/>
              <w:ind w:firstLine="0"/>
              <w:jc w:val="left"/>
              <w:rPr>
                <w:color w:val="000000"/>
                <w:sz w:val="24"/>
                <w:szCs w:val="24"/>
              </w:rPr>
            </w:pPr>
            <w:r>
              <w:rPr>
                <w:color w:val="000000"/>
                <w:sz w:val="24"/>
                <w:szCs w:val="24"/>
              </w:rPr>
              <w:t>Численность постоянного населения в среднем за год, предшествующий отчетному</w:t>
            </w:r>
          </w:p>
        </w:tc>
        <w:tc>
          <w:tcPr>
            <w:tcW w:w="5245" w:type="dxa"/>
            <w:gridSpan w:val="3"/>
            <w:tcBorders>
              <w:top w:val="single" w:sz="4" w:space="0" w:color="auto"/>
              <w:left w:val="none" w:sz="4" w:space="0" w:color="000000"/>
              <w:bottom w:val="single" w:sz="4" w:space="0" w:color="auto"/>
              <w:right w:val="single" w:sz="4" w:space="0" w:color="auto"/>
            </w:tcBorders>
            <w:shd w:val="clear" w:color="auto" w:fill="auto"/>
            <w:vAlign w:val="center"/>
          </w:tcPr>
          <w:p w:rsidR="00DC1467" w:rsidRDefault="00B70D3E">
            <w:pPr>
              <w:spacing w:line="240" w:lineRule="auto"/>
              <w:ind w:firstLine="0"/>
              <w:jc w:val="center"/>
              <w:rPr>
                <w:color w:val="000000"/>
                <w:sz w:val="24"/>
                <w:szCs w:val="24"/>
              </w:rPr>
            </w:pPr>
            <w:r>
              <w:rPr>
                <w:color w:val="000000"/>
                <w:sz w:val="24"/>
                <w:szCs w:val="24"/>
              </w:rPr>
              <w:t>1 722 058</w:t>
            </w:r>
          </w:p>
        </w:tc>
      </w:tr>
    </w:tbl>
    <w:p w:rsidR="00DC1467" w:rsidRDefault="00DC1467">
      <w:pPr>
        <w:spacing w:line="276" w:lineRule="auto"/>
        <w:jc w:val="right"/>
        <w:rPr>
          <w:rFonts w:eastAsia="Calibri"/>
          <w:color w:val="000000"/>
          <w:highlight w:val="yellow"/>
        </w:rPr>
      </w:pPr>
    </w:p>
    <w:p w:rsidR="00DC1467" w:rsidRDefault="00DC1467">
      <w:pPr>
        <w:spacing w:line="276" w:lineRule="auto"/>
        <w:jc w:val="right"/>
        <w:rPr>
          <w:rFonts w:eastAsia="Calibri"/>
          <w:color w:val="000000"/>
        </w:rPr>
      </w:pPr>
    </w:p>
    <w:p w:rsidR="00DC1467" w:rsidRDefault="00DC1467">
      <w:pPr>
        <w:spacing w:line="276" w:lineRule="auto"/>
        <w:jc w:val="right"/>
        <w:rPr>
          <w:rFonts w:eastAsia="Calibri"/>
          <w:color w:val="000000"/>
        </w:rPr>
      </w:pPr>
    </w:p>
    <w:p w:rsidR="00DC1467" w:rsidRDefault="00DC1467">
      <w:pPr>
        <w:spacing w:line="276" w:lineRule="auto"/>
        <w:jc w:val="right"/>
        <w:rPr>
          <w:rFonts w:eastAsia="Calibri"/>
          <w:color w:val="000000"/>
        </w:rPr>
      </w:pPr>
    </w:p>
    <w:p w:rsidR="00DC1467" w:rsidRDefault="00B70D3E">
      <w:pPr>
        <w:spacing w:line="276" w:lineRule="auto"/>
        <w:jc w:val="right"/>
        <w:rPr>
          <w:rFonts w:eastAsia="Calibri"/>
          <w:color w:val="000000"/>
        </w:rPr>
      </w:pPr>
      <w:r>
        <w:rPr>
          <w:rFonts w:eastAsia="Calibri"/>
          <w:color w:val="000000"/>
        </w:rPr>
        <w:lastRenderedPageBreak/>
        <w:t>Таблица 1.2</w:t>
      </w:r>
    </w:p>
    <w:p w:rsidR="00DC1467" w:rsidRDefault="00B70D3E">
      <w:pPr>
        <w:spacing w:line="276" w:lineRule="auto"/>
        <w:ind w:firstLine="0"/>
        <w:jc w:val="center"/>
        <w:rPr>
          <w:b/>
          <w:bCs/>
        </w:rPr>
      </w:pPr>
      <w:r>
        <w:rPr>
          <w:b/>
        </w:rPr>
        <w:t xml:space="preserve">Численность постоянного населения </w:t>
      </w:r>
      <w:r>
        <w:rPr>
          <w:b/>
        </w:rPr>
        <w:br/>
        <w:t xml:space="preserve">на 1 января 2024 года, а также в среднем за год </w:t>
      </w:r>
      <w:r>
        <w:rPr>
          <w:b/>
        </w:rPr>
        <w:br/>
        <w:t>(с разбивкой по половозрастным характеристикам)</w:t>
      </w:r>
    </w:p>
    <w:p w:rsidR="00DC1467" w:rsidRDefault="00DC1467">
      <w:pPr>
        <w:spacing w:line="276" w:lineRule="auto"/>
        <w:ind w:firstLine="0"/>
        <w:jc w:val="center"/>
        <w:rPr>
          <w:b/>
          <w:bCs/>
        </w:rPr>
      </w:pPr>
    </w:p>
    <w:tbl>
      <w:tblPr>
        <w:tblW w:w="9229" w:type="dxa"/>
        <w:tblInd w:w="93" w:type="dxa"/>
        <w:tblLook w:val="04A0" w:firstRow="1" w:lastRow="0" w:firstColumn="1" w:lastColumn="0" w:noHBand="0" w:noVBand="1"/>
      </w:tblPr>
      <w:tblGrid>
        <w:gridCol w:w="3984"/>
        <w:gridCol w:w="1843"/>
        <w:gridCol w:w="1701"/>
        <w:gridCol w:w="1701"/>
      </w:tblGrid>
      <w:tr w:rsidR="00DC1467">
        <w:trPr>
          <w:trHeight w:val="227"/>
        </w:trPr>
        <w:tc>
          <w:tcPr>
            <w:tcW w:w="3984" w:type="dxa"/>
            <w:vMerge w:val="restart"/>
            <w:tcBorders>
              <w:top w:val="single" w:sz="4" w:space="0" w:color="000000"/>
              <w:left w:val="single" w:sz="4" w:space="0" w:color="000000"/>
              <w:bottom w:val="single" w:sz="4" w:space="0" w:color="000000"/>
              <w:right w:val="single" w:sz="4" w:space="0" w:color="000000"/>
            </w:tcBorders>
            <w:shd w:val="clear" w:color="FFFFFF" w:fill="FFFFFF"/>
            <w:noWrap/>
            <w:vAlign w:val="center"/>
          </w:tcPr>
          <w:p w:rsidR="00DC1467" w:rsidRDefault="00B70D3E">
            <w:pPr>
              <w:spacing w:line="240" w:lineRule="auto"/>
              <w:ind w:firstLine="0"/>
              <w:jc w:val="center"/>
              <w:rPr>
                <w:color w:val="000000"/>
                <w:sz w:val="24"/>
                <w:szCs w:val="24"/>
              </w:rPr>
            </w:pPr>
            <w:r>
              <w:rPr>
                <w:color w:val="000000"/>
                <w:sz w:val="24"/>
                <w:szCs w:val="24"/>
              </w:rPr>
              <w:t>Возраст (лет)</w:t>
            </w:r>
          </w:p>
        </w:tc>
        <w:tc>
          <w:tcPr>
            <w:tcW w:w="5245" w:type="dxa"/>
            <w:gridSpan w:val="3"/>
            <w:tcBorders>
              <w:top w:val="single" w:sz="4" w:space="0" w:color="000000"/>
              <w:left w:val="none" w:sz="4" w:space="0" w:color="000000"/>
              <w:bottom w:val="single" w:sz="4" w:space="0" w:color="000000"/>
              <w:right w:val="single" w:sz="4" w:space="0" w:color="000000"/>
            </w:tcBorders>
            <w:shd w:val="clear" w:color="FFFFFF" w:fill="FFFFFF"/>
            <w:noWrap/>
            <w:vAlign w:val="center"/>
          </w:tcPr>
          <w:p w:rsidR="00DC1467" w:rsidRDefault="00B70D3E">
            <w:pPr>
              <w:spacing w:line="240" w:lineRule="auto"/>
              <w:ind w:firstLine="0"/>
              <w:jc w:val="center"/>
              <w:rPr>
                <w:color w:val="000000"/>
                <w:sz w:val="24"/>
                <w:szCs w:val="24"/>
              </w:rPr>
            </w:pPr>
            <w:r>
              <w:rPr>
                <w:color w:val="000000"/>
                <w:sz w:val="24"/>
                <w:szCs w:val="24"/>
              </w:rPr>
              <w:t>Все население (чел.)</w:t>
            </w:r>
          </w:p>
        </w:tc>
      </w:tr>
      <w:tr w:rsidR="00DC1467">
        <w:trPr>
          <w:trHeight w:val="227"/>
        </w:trPr>
        <w:tc>
          <w:tcPr>
            <w:tcW w:w="3984" w:type="dxa"/>
            <w:vMerge/>
            <w:tcBorders>
              <w:top w:val="single" w:sz="4" w:space="0" w:color="000000"/>
              <w:left w:val="single" w:sz="4" w:space="0" w:color="000000"/>
              <w:bottom w:val="single" w:sz="4" w:space="0" w:color="000000"/>
              <w:right w:val="single" w:sz="4" w:space="0" w:color="000000"/>
            </w:tcBorders>
            <w:vAlign w:val="center"/>
          </w:tcPr>
          <w:p w:rsidR="00DC1467" w:rsidRDefault="00DC1467">
            <w:pPr>
              <w:spacing w:line="240" w:lineRule="auto"/>
              <w:ind w:firstLine="0"/>
              <w:jc w:val="left"/>
              <w:rPr>
                <w:color w:val="000000"/>
                <w:sz w:val="24"/>
                <w:szCs w:val="24"/>
              </w:rPr>
            </w:pPr>
          </w:p>
        </w:tc>
        <w:tc>
          <w:tcPr>
            <w:tcW w:w="1843" w:type="dxa"/>
            <w:tcBorders>
              <w:top w:val="non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color w:val="000000"/>
                <w:sz w:val="24"/>
                <w:szCs w:val="24"/>
              </w:rPr>
            </w:pPr>
            <w:r>
              <w:rPr>
                <w:color w:val="000000"/>
                <w:sz w:val="24"/>
                <w:szCs w:val="24"/>
              </w:rPr>
              <w:t xml:space="preserve">мужчины и женщины </w:t>
            </w:r>
          </w:p>
        </w:tc>
        <w:tc>
          <w:tcPr>
            <w:tcW w:w="1701" w:type="dxa"/>
            <w:tcBorders>
              <w:top w:val="none" w:sz="4" w:space="0" w:color="000000"/>
              <w:left w:val="none" w:sz="4" w:space="0" w:color="000000"/>
              <w:bottom w:val="single" w:sz="4" w:space="0" w:color="000000"/>
              <w:right w:val="single" w:sz="4" w:space="0" w:color="000000"/>
            </w:tcBorders>
            <w:shd w:val="clear" w:color="FFFFFF" w:fill="FFFFFF"/>
            <w:noWrap/>
            <w:vAlign w:val="center"/>
          </w:tcPr>
          <w:p w:rsidR="00DC1467" w:rsidRDefault="00B70D3E">
            <w:pPr>
              <w:spacing w:line="240" w:lineRule="auto"/>
              <w:ind w:firstLine="0"/>
              <w:jc w:val="center"/>
              <w:rPr>
                <w:color w:val="000000"/>
                <w:sz w:val="24"/>
                <w:szCs w:val="24"/>
              </w:rPr>
            </w:pPr>
            <w:r>
              <w:rPr>
                <w:color w:val="000000"/>
                <w:sz w:val="24"/>
                <w:szCs w:val="24"/>
              </w:rPr>
              <w:t>мужчины</w:t>
            </w:r>
          </w:p>
        </w:tc>
        <w:tc>
          <w:tcPr>
            <w:tcW w:w="1701" w:type="dxa"/>
            <w:tcBorders>
              <w:top w:val="none" w:sz="4" w:space="0" w:color="000000"/>
              <w:left w:val="none" w:sz="4" w:space="0" w:color="000000"/>
              <w:bottom w:val="single" w:sz="4" w:space="0" w:color="000000"/>
              <w:right w:val="single" w:sz="4" w:space="0" w:color="000000"/>
            </w:tcBorders>
            <w:shd w:val="clear" w:color="FFFFFF" w:fill="FFFFFF"/>
            <w:noWrap/>
            <w:vAlign w:val="center"/>
          </w:tcPr>
          <w:p w:rsidR="00DC1467" w:rsidRDefault="00B70D3E">
            <w:pPr>
              <w:spacing w:line="240" w:lineRule="auto"/>
              <w:ind w:firstLine="0"/>
              <w:jc w:val="center"/>
              <w:rPr>
                <w:color w:val="000000"/>
                <w:sz w:val="24"/>
                <w:szCs w:val="24"/>
              </w:rPr>
            </w:pPr>
            <w:r>
              <w:rPr>
                <w:color w:val="000000"/>
                <w:sz w:val="24"/>
                <w:szCs w:val="24"/>
              </w:rPr>
              <w:t>женщины</w:t>
            </w:r>
          </w:p>
        </w:tc>
      </w:tr>
      <w:tr w:rsidR="00DC1467">
        <w:trPr>
          <w:trHeight w:val="227"/>
        </w:trPr>
        <w:tc>
          <w:tcPr>
            <w:tcW w:w="3984" w:type="dxa"/>
            <w:tcBorders>
              <w:top w:val="none" w:sz="4" w:space="0" w:color="000000"/>
              <w:left w:val="singl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left"/>
              <w:rPr>
                <w:color w:val="000000"/>
                <w:sz w:val="24"/>
                <w:szCs w:val="24"/>
              </w:rPr>
            </w:pPr>
            <w:r>
              <w:rPr>
                <w:color w:val="000000"/>
                <w:sz w:val="24"/>
                <w:szCs w:val="24"/>
              </w:rPr>
              <w:t>Численность постоянного населения, в том числе в возрасте:</w:t>
            </w:r>
          </w:p>
        </w:tc>
        <w:tc>
          <w:tcPr>
            <w:tcW w:w="1843" w:type="dxa"/>
            <w:tcBorders>
              <w:top w:val="non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b/>
                <w:bCs/>
                <w:color w:val="000000"/>
                <w:sz w:val="24"/>
                <w:szCs w:val="24"/>
              </w:rPr>
            </w:pPr>
            <w:r>
              <w:rPr>
                <w:b/>
                <w:bCs/>
                <w:color w:val="000000"/>
                <w:sz w:val="24"/>
                <w:szCs w:val="24"/>
              </w:rPr>
              <w:t>1 759 386</w:t>
            </w:r>
          </w:p>
        </w:tc>
        <w:tc>
          <w:tcPr>
            <w:tcW w:w="1701" w:type="dxa"/>
            <w:tcBorders>
              <w:top w:val="non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b/>
                <w:bCs/>
                <w:color w:val="000000"/>
                <w:sz w:val="24"/>
                <w:szCs w:val="24"/>
              </w:rPr>
            </w:pPr>
            <w:r>
              <w:rPr>
                <w:b/>
                <w:bCs/>
                <w:color w:val="000000"/>
                <w:sz w:val="24"/>
                <w:szCs w:val="24"/>
              </w:rPr>
              <w:t>845 480</w:t>
            </w:r>
          </w:p>
        </w:tc>
        <w:tc>
          <w:tcPr>
            <w:tcW w:w="1701" w:type="dxa"/>
            <w:tcBorders>
              <w:top w:val="non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b/>
                <w:bCs/>
                <w:color w:val="000000"/>
                <w:sz w:val="24"/>
                <w:szCs w:val="24"/>
              </w:rPr>
            </w:pPr>
            <w:r>
              <w:rPr>
                <w:b/>
                <w:bCs/>
                <w:color w:val="000000"/>
                <w:sz w:val="24"/>
                <w:szCs w:val="24"/>
              </w:rPr>
              <w:t>913 906</w:t>
            </w:r>
          </w:p>
        </w:tc>
      </w:tr>
      <w:tr w:rsidR="00DC1467">
        <w:trPr>
          <w:trHeight w:val="227"/>
        </w:trPr>
        <w:tc>
          <w:tcPr>
            <w:tcW w:w="3984" w:type="dxa"/>
            <w:tcBorders>
              <w:top w:val="none" w:sz="4" w:space="0" w:color="000000"/>
              <w:left w:val="singl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left"/>
              <w:rPr>
                <w:color w:val="000000"/>
                <w:sz w:val="24"/>
                <w:szCs w:val="24"/>
              </w:rPr>
            </w:pPr>
            <w:r>
              <w:rPr>
                <w:color w:val="000000"/>
                <w:sz w:val="24"/>
                <w:szCs w:val="24"/>
              </w:rPr>
              <w:t>14-60</w:t>
            </w:r>
          </w:p>
        </w:tc>
        <w:tc>
          <w:tcPr>
            <w:tcW w:w="1843" w:type="dxa"/>
            <w:tcBorders>
              <w:top w:val="non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color w:val="000000"/>
                <w:sz w:val="24"/>
                <w:szCs w:val="24"/>
              </w:rPr>
            </w:pPr>
            <w:r>
              <w:rPr>
                <w:color w:val="000000"/>
                <w:sz w:val="24"/>
                <w:szCs w:val="24"/>
              </w:rPr>
              <w:t>1 148 398</w:t>
            </w:r>
          </w:p>
        </w:tc>
        <w:tc>
          <w:tcPr>
            <w:tcW w:w="1701" w:type="dxa"/>
            <w:tcBorders>
              <w:top w:val="non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color w:val="000000"/>
                <w:sz w:val="24"/>
                <w:szCs w:val="24"/>
              </w:rPr>
            </w:pPr>
            <w:r>
              <w:rPr>
                <w:color w:val="000000"/>
                <w:sz w:val="24"/>
                <w:szCs w:val="24"/>
              </w:rPr>
              <w:t>562 171</w:t>
            </w:r>
          </w:p>
        </w:tc>
        <w:tc>
          <w:tcPr>
            <w:tcW w:w="1701" w:type="dxa"/>
            <w:tcBorders>
              <w:top w:val="non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color w:val="000000"/>
                <w:sz w:val="24"/>
                <w:szCs w:val="24"/>
              </w:rPr>
            </w:pPr>
            <w:r>
              <w:rPr>
                <w:color w:val="000000"/>
                <w:sz w:val="24"/>
                <w:szCs w:val="24"/>
              </w:rPr>
              <w:t>586 227</w:t>
            </w:r>
          </w:p>
        </w:tc>
      </w:tr>
      <w:tr w:rsidR="00DC1467">
        <w:trPr>
          <w:trHeight w:val="227"/>
        </w:trPr>
        <w:tc>
          <w:tcPr>
            <w:tcW w:w="3984" w:type="dxa"/>
            <w:tcBorders>
              <w:top w:val="none" w:sz="4" w:space="0" w:color="000000"/>
              <w:left w:val="singl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left"/>
              <w:rPr>
                <w:color w:val="000000"/>
                <w:sz w:val="24"/>
                <w:szCs w:val="24"/>
              </w:rPr>
            </w:pPr>
            <w:r>
              <w:rPr>
                <w:color w:val="000000"/>
                <w:sz w:val="24"/>
                <w:szCs w:val="24"/>
              </w:rPr>
              <w:t>0-17, из них:</w:t>
            </w:r>
          </w:p>
        </w:tc>
        <w:tc>
          <w:tcPr>
            <w:tcW w:w="1843" w:type="dxa"/>
            <w:tcBorders>
              <w:top w:val="non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color w:val="000000"/>
                <w:sz w:val="24"/>
                <w:szCs w:val="24"/>
              </w:rPr>
            </w:pPr>
            <w:r>
              <w:rPr>
                <w:color w:val="000000"/>
                <w:sz w:val="24"/>
                <w:szCs w:val="24"/>
              </w:rPr>
              <w:t>437 518</w:t>
            </w:r>
          </w:p>
        </w:tc>
        <w:tc>
          <w:tcPr>
            <w:tcW w:w="1701" w:type="dxa"/>
            <w:tcBorders>
              <w:top w:val="non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color w:val="000000"/>
                <w:sz w:val="24"/>
                <w:szCs w:val="24"/>
              </w:rPr>
            </w:pPr>
            <w:r>
              <w:rPr>
                <w:color w:val="000000"/>
                <w:sz w:val="24"/>
                <w:szCs w:val="24"/>
              </w:rPr>
              <w:t>224 607</w:t>
            </w:r>
          </w:p>
        </w:tc>
        <w:tc>
          <w:tcPr>
            <w:tcW w:w="1701" w:type="dxa"/>
            <w:tcBorders>
              <w:top w:val="non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color w:val="000000"/>
                <w:sz w:val="24"/>
                <w:szCs w:val="24"/>
              </w:rPr>
            </w:pPr>
            <w:r>
              <w:rPr>
                <w:color w:val="000000"/>
                <w:sz w:val="24"/>
                <w:szCs w:val="24"/>
              </w:rPr>
              <w:t>212 911</w:t>
            </w:r>
          </w:p>
        </w:tc>
      </w:tr>
      <w:tr w:rsidR="00DC1467">
        <w:trPr>
          <w:trHeight w:val="227"/>
        </w:trPr>
        <w:tc>
          <w:tcPr>
            <w:tcW w:w="3984" w:type="dxa"/>
            <w:tcBorders>
              <w:top w:val="none" w:sz="4" w:space="0" w:color="000000"/>
              <w:left w:val="singl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720"/>
              <w:jc w:val="left"/>
              <w:rPr>
                <w:color w:val="000000"/>
                <w:sz w:val="24"/>
                <w:szCs w:val="24"/>
              </w:rPr>
            </w:pPr>
            <w:r>
              <w:rPr>
                <w:color w:val="000000"/>
                <w:sz w:val="24"/>
                <w:szCs w:val="24"/>
              </w:rPr>
              <w:t>0-13</w:t>
            </w:r>
          </w:p>
        </w:tc>
        <w:tc>
          <w:tcPr>
            <w:tcW w:w="1843" w:type="dxa"/>
            <w:tcBorders>
              <w:top w:val="non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color w:val="000000"/>
                <w:sz w:val="24"/>
                <w:szCs w:val="24"/>
              </w:rPr>
            </w:pPr>
            <w:r>
              <w:rPr>
                <w:color w:val="000000"/>
                <w:sz w:val="24"/>
                <w:szCs w:val="24"/>
              </w:rPr>
              <w:t>344 025</w:t>
            </w:r>
          </w:p>
        </w:tc>
        <w:tc>
          <w:tcPr>
            <w:tcW w:w="1701" w:type="dxa"/>
            <w:tcBorders>
              <w:top w:val="non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color w:val="000000"/>
                <w:sz w:val="24"/>
                <w:szCs w:val="24"/>
              </w:rPr>
            </w:pPr>
            <w:r>
              <w:rPr>
                <w:color w:val="000000"/>
                <w:sz w:val="24"/>
                <w:szCs w:val="24"/>
              </w:rPr>
              <w:t>176 488</w:t>
            </w:r>
          </w:p>
        </w:tc>
        <w:tc>
          <w:tcPr>
            <w:tcW w:w="1701" w:type="dxa"/>
            <w:tcBorders>
              <w:top w:val="non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color w:val="000000"/>
                <w:sz w:val="24"/>
                <w:szCs w:val="24"/>
              </w:rPr>
            </w:pPr>
            <w:r>
              <w:rPr>
                <w:color w:val="000000"/>
                <w:sz w:val="24"/>
                <w:szCs w:val="24"/>
              </w:rPr>
              <w:t>167 537</w:t>
            </w:r>
          </w:p>
        </w:tc>
      </w:tr>
      <w:tr w:rsidR="00DC1467">
        <w:trPr>
          <w:trHeight w:val="227"/>
        </w:trPr>
        <w:tc>
          <w:tcPr>
            <w:tcW w:w="3984" w:type="dxa"/>
            <w:tcBorders>
              <w:top w:val="none" w:sz="4" w:space="0" w:color="000000"/>
              <w:left w:val="singl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720"/>
              <w:jc w:val="left"/>
              <w:rPr>
                <w:color w:val="000000"/>
                <w:sz w:val="24"/>
                <w:szCs w:val="24"/>
              </w:rPr>
            </w:pPr>
            <w:r>
              <w:rPr>
                <w:color w:val="000000"/>
                <w:sz w:val="24"/>
                <w:szCs w:val="24"/>
              </w:rPr>
              <w:t>0-14</w:t>
            </w:r>
          </w:p>
        </w:tc>
        <w:tc>
          <w:tcPr>
            <w:tcW w:w="1843" w:type="dxa"/>
            <w:tcBorders>
              <w:top w:val="non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color w:val="000000"/>
                <w:sz w:val="24"/>
                <w:szCs w:val="24"/>
              </w:rPr>
            </w:pPr>
            <w:r>
              <w:rPr>
                <w:color w:val="000000"/>
                <w:sz w:val="24"/>
                <w:szCs w:val="24"/>
              </w:rPr>
              <w:t>369 098</w:t>
            </w:r>
          </w:p>
        </w:tc>
        <w:tc>
          <w:tcPr>
            <w:tcW w:w="1701" w:type="dxa"/>
            <w:tcBorders>
              <w:top w:val="non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color w:val="000000"/>
                <w:sz w:val="24"/>
                <w:szCs w:val="24"/>
              </w:rPr>
            </w:pPr>
            <w:r>
              <w:rPr>
                <w:color w:val="000000"/>
                <w:sz w:val="24"/>
                <w:szCs w:val="24"/>
              </w:rPr>
              <w:t>189 279</w:t>
            </w:r>
          </w:p>
        </w:tc>
        <w:tc>
          <w:tcPr>
            <w:tcW w:w="1701" w:type="dxa"/>
            <w:tcBorders>
              <w:top w:val="non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color w:val="000000"/>
                <w:sz w:val="24"/>
                <w:szCs w:val="24"/>
              </w:rPr>
            </w:pPr>
            <w:r>
              <w:rPr>
                <w:color w:val="000000"/>
                <w:sz w:val="24"/>
                <w:szCs w:val="24"/>
              </w:rPr>
              <w:t>179 819</w:t>
            </w:r>
          </w:p>
        </w:tc>
      </w:tr>
      <w:tr w:rsidR="00DC1467">
        <w:trPr>
          <w:trHeight w:val="227"/>
        </w:trPr>
        <w:tc>
          <w:tcPr>
            <w:tcW w:w="3984" w:type="dxa"/>
            <w:tcBorders>
              <w:top w:val="none" w:sz="4" w:space="0" w:color="000000"/>
              <w:left w:val="singl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720"/>
              <w:jc w:val="left"/>
              <w:rPr>
                <w:color w:val="000000"/>
                <w:sz w:val="24"/>
                <w:szCs w:val="24"/>
              </w:rPr>
            </w:pPr>
            <w:r>
              <w:rPr>
                <w:color w:val="000000"/>
                <w:sz w:val="24"/>
                <w:szCs w:val="24"/>
              </w:rPr>
              <w:t>14-17</w:t>
            </w:r>
          </w:p>
        </w:tc>
        <w:tc>
          <w:tcPr>
            <w:tcW w:w="1843" w:type="dxa"/>
            <w:tcBorders>
              <w:top w:val="non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color w:val="000000"/>
                <w:sz w:val="24"/>
                <w:szCs w:val="24"/>
              </w:rPr>
            </w:pPr>
            <w:r>
              <w:rPr>
                <w:color w:val="000000"/>
                <w:sz w:val="24"/>
                <w:szCs w:val="24"/>
              </w:rPr>
              <w:t>93 493</w:t>
            </w:r>
          </w:p>
        </w:tc>
        <w:tc>
          <w:tcPr>
            <w:tcW w:w="1701" w:type="dxa"/>
            <w:tcBorders>
              <w:top w:val="non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color w:val="000000"/>
                <w:sz w:val="24"/>
                <w:szCs w:val="24"/>
              </w:rPr>
            </w:pPr>
            <w:r>
              <w:rPr>
                <w:color w:val="000000"/>
                <w:sz w:val="24"/>
                <w:szCs w:val="24"/>
              </w:rPr>
              <w:t>48 119</w:t>
            </w:r>
          </w:p>
        </w:tc>
        <w:tc>
          <w:tcPr>
            <w:tcW w:w="1701" w:type="dxa"/>
            <w:tcBorders>
              <w:top w:val="non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color w:val="000000"/>
                <w:sz w:val="24"/>
                <w:szCs w:val="24"/>
              </w:rPr>
            </w:pPr>
            <w:r>
              <w:rPr>
                <w:color w:val="000000"/>
                <w:sz w:val="24"/>
                <w:szCs w:val="24"/>
              </w:rPr>
              <w:t>45 374</w:t>
            </w:r>
          </w:p>
        </w:tc>
      </w:tr>
      <w:tr w:rsidR="00DC1467">
        <w:trPr>
          <w:trHeight w:val="227"/>
        </w:trPr>
        <w:tc>
          <w:tcPr>
            <w:tcW w:w="3984" w:type="dxa"/>
            <w:tcBorders>
              <w:top w:val="none" w:sz="4" w:space="0" w:color="000000"/>
              <w:left w:val="singl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left"/>
              <w:rPr>
                <w:color w:val="000000"/>
                <w:sz w:val="24"/>
                <w:szCs w:val="24"/>
              </w:rPr>
            </w:pPr>
            <w:r>
              <w:rPr>
                <w:color w:val="000000"/>
                <w:sz w:val="24"/>
                <w:szCs w:val="24"/>
              </w:rPr>
              <w:t>18-24</w:t>
            </w:r>
          </w:p>
        </w:tc>
        <w:tc>
          <w:tcPr>
            <w:tcW w:w="1843" w:type="dxa"/>
            <w:tcBorders>
              <w:top w:val="non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color w:val="000000"/>
                <w:sz w:val="24"/>
                <w:szCs w:val="24"/>
              </w:rPr>
            </w:pPr>
            <w:r>
              <w:rPr>
                <w:color w:val="000000"/>
                <w:sz w:val="24"/>
                <w:szCs w:val="24"/>
              </w:rPr>
              <w:t>131 708</w:t>
            </w:r>
          </w:p>
        </w:tc>
        <w:tc>
          <w:tcPr>
            <w:tcW w:w="1701" w:type="dxa"/>
            <w:tcBorders>
              <w:top w:val="non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color w:val="000000"/>
                <w:sz w:val="24"/>
                <w:szCs w:val="24"/>
              </w:rPr>
            </w:pPr>
            <w:r>
              <w:rPr>
                <w:color w:val="000000"/>
                <w:sz w:val="24"/>
                <w:szCs w:val="24"/>
              </w:rPr>
              <w:t>65 231</w:t>
            </w:r>
          </w:p>
        </w:tc>
        <w:tc>
          <w:tcPr>
            <w:tcW w:w="1701" w:type="dxa"/>
            <w:tcBorders>
              <w:top w:val="non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color w:val="000000"/>
                <w:sz w:val="24"/>
                <w:szCs w:val="24"/>
              </w:rPr>
            </w:pPr>
            <w:r>
              <w:rPr>
                <w:color w:val="000000"/>
                <w:sz w:val="24"/>
                <w:szCs w:val="24"/>
              </w:rPr>
              <w:t>66 477</w:t>
            </w:r>
          </w:p>
        </w:tc>
      </w:tr>
      <w:tr w:rsidR="00DC1467">
        <w:trPr>
          <w:trHeight w:val="227"/>
        </w:trPr>
        <w:tc>
          <w:tcPr>
            <w:tcW w:w="3984" w:type="dxa"/>
            <w:tcBorders>
              <w:top w:val="none" w:sz="4" w:space="0" w:color="000000"/>
              <w:left w:val="singl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left"/>
              <w:rPr>
                <w:color w:val="000000"/>
                <w:sz w:val="24"/>
                <w:szCs w:val="24"/>
              </w:rPr>
            </w:pPr>
            <w:r>
              <w:rPr>
                <w:color w:val="000000"/>
                <w:sz w:val="24"/>
                <w:szCs w:val="24"/>
              </w:rPr>
              <w:t>25-29</w:t>
            </w:r>
          </w:p>
        </w:tc>
        <w:tc>
          <w:tcPr>
            <w:tcW w:w="1843" w:type="dxa"/>
            <w:tcBorders>
              <w:top w:val="non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color w:val="000000"/>
                <w:sz w:val="24"/>
                <w:szCs w:val="24"/>
              </w:rPr>
            </w:pPr>
            <w:r>
              <w:rPr>
                <w:color w:val="000000"/>
                <w:sz w:val="24"/>
                <w:szCs w:val="24"/>
              </w:rPr>
              <w:t>96 604</w:t>
            </w:r>
          </w:p>
        </w:tc>
        <w:tc>
          <w:tcPr>
            <w:tcW w:w="1701" w:type="dxa"/>
            <w:tcBorders>
              <w:top w:val="non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color w:val="000000"/>
                <w:sz w:val="24"/>
                <w:szCs w:val="24"/>
              </w:rPr>
            </w:pPr>
            <w:r>
              <w:rPr>
                <w:color w:val="000000"/>
                <w:sz w:val="24"/>
                <w:szCs w:val="24"/>
              </w:rPr>
              <w:t>49 755</w:t>
            </w:r>
          </w:p>
        </w:tc>
        <w:tc>
          <w:tcPr>
            <w:tcW w:w="1701" w:type="dxa"/>
            <w:tcBorders>
              <w:top w:val="non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color w:val="000000"/>
                <w:sz w:val="24"/>
                <w:szCs w:val="24"/>
              </w:rPr>
            </w:pPr>
            <w:r>
              <w:rPr>
                <w:color w:val="000000"/>
                <w:sz w:val="24"/>
                <w:szCs w:val="24"/>
              </w:rPr>
              <w:t>46 849</w:t>
            </w:r>
          </w:p>
        </w:tc>
      </w:tr>
      <w:tr w:rsidR="00DC1467">
        <w:trPr>
          <w:trHeight w:val="227"/>
        </w:trPr>
        <w:tc>
          <w:tcPr>
            <w:tcW w:w="3984" w:type="dxa"/>
            <w:tcBorders>
              <w:top w:val="none" w:sz="4" w:space="0" w:color="000000"/>
              <w:left w:val="singl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left"/>
              <w:rPr>
                <w:color w:val="000000"/>
                <w:sz w:val="24"/>
                <w:szCs w:val="24"/>
              </w:rPr>
            </w:pPr>
            <w:r>
              <w:rPr>
                <w:color w:val="000000"/>
                <w:sz w:val="24"/>
                <w:szCs w:val="24"/>
              </w:rPr>
              <w:t>30-34</w:t>
            </w:r>
          </w:p>
        </w:tc>
        <w:tc>
          <w:tcPr>
            <w:tcW w:w="1843" w:type="dxa"/>
            <w:tcBorders>
              <w:top w:val="non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color w:val="000000"/>
                <w:sz w:val="24"/>
                <w:szCs w:val="24"/>
              </w:rPr>
            </w:pPr>
            <w:r>
              <w:rPr>
                <w:color w:val="000000"/>
                <w:sz w:val="24"/>
                <w:szCs w:val="24"/>
              </w:rPr>
              <w:t>125 394</w:t>
            </w:r>
          </w:p>
        </w:tc>
        <w:tc>
          <w:tcPr>
            <w:tcW w:w="1701" w:type="dxa"/>
            <w:tcBorders>
              <w:top w:val="non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color w:val="000000"/>
                <w:sz w:val="24"/>
                <w:szCs w:val="24"/>
              </w:rPr>
            </w:pPr>
            <w:r>
              <w:rPr>
                <w:color w:val="000000"/>
                <w:sz w:val="24"/>
                <w:szCs w:val="24"/>
              </w:rPr>
              <w:t>62 058</w:t>
            </w:r>
          </w:p>
        </w:tc>
        <w:tc>
          <w:tcPr>
            <w:tcW w:w="1701" w:type="dxa"/>
            <w:tcBorders>
              <w:top w:val="non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color w:val="000000"/>
                <w:sz w:val="24"/>
                <w:szCs w:val="24"/>
              </w:rPr>
            </w:pPr>
            <w:r>
              <w:rPr>
                <w:color w:val="000000"/>
                <w:sz w:val="24"/>
                <w:szCs w:val="24"/>
              </w:rPr>
              <w:t>63 336</w:t>
            </w:r>
          </w:p>
        </w:tc>
      </w:tr>
      <w:tr w:rsidR="00DC1467">
        <w:trPr>
          <w:trHeight w:val="227"/>
        </w:trPr>
        <w:tc>
          <w:tcPr>
            <w:tcW w:w="3984" w:type="dxa"/>
            <w:tcBorders>
              <w:top w:val="none" w:sz="4" w:space="0" w:color="000000"/>
              <w:left w:val="singl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left"/>
              <w:rPr>
                <w:color w:val="000000"/>
                <w:sz w:val="24"/>
                <w:szCs w:val="24"/>
              </w:rPr>
            </w:pPr>
            <w:r>
              <w:rPr>
                <w:color w:val="000000"/>
                <w:sz w:val="24"/>
                <w:szCs w:val="24"/>
              </w:rPr>
              <w:t>35-39</w:t>
            </w:r>
          </w:p>
        </w:tc>
        <w:tc>
          <w:tcPr>
            <w:tcW w:w="1843" w:type="dxa"/>
            <w:tcBorders>
              <w:top w:val="non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color w:val="000000"/>
                <w:sz w:val="24"/>
                <w:szCs w:val="24"/>
              </w:rPr>
            </w:pPr>
            <w:r>
              <w:rPr>
                <w:color w:val="000000"/>
                <w:sz w:val="24"/>
                <w:szCs w:val="24"/>
              </w:rPr>
              <w:t>169 430</w:t>
            </w:r>
          </w:p>
        </w:tc>
        <w:tc>
          <w:tcPr>
            <w:tcW w:w="1701" w:type="dxa"/>
            <w:tcBorders>
              <w:top w:val="non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color w:val="000000"/>
                <w:sz w:val="24"/>
                <w:szCs w:val="24"/>
              </w:rPr>
            </w:pPr>
            <w:r>
              <w:rPr>
                <w:color w:val="000000"/>
                <w:sz w:val="24"/>
                <w:szCs w:val="24"/>
              </w:rPr>
              <w:t>83 942</w:t>
            </w:r>
          </w:p>
        </w:tc>
        <w:tc>
          <w:tcPr>
            <w:tcW w:w="1701" w:type="dxa"/>
            <w:tcBorders>
              <w:top w:val="non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color w:val="000000"/>
                <w:sz w:val="24"/>
                <w:szCs w:val="24"/>
              </w:rPr>
            </w:pPr>
            <w:r>
              <w:rPr>
                <w:color w:val="000000"/>
                <w:sz w:val="24"/>
                <w:szCs w:val="24"/>
              </w:rPr>
              <w:t>85 488</w:t>
            </w:r>
          </w:p>
        </w:tc>
      </w:tr>
      <w:tr w:rsidR="00DC1467">
        <w:trPr>
          <w:trHeight w:val="227"/>
        </w:trPr>
        <w:tc>
          <w:tcPr>
            <w:tcW w:w="3984" w:type="dxa"/>
            <w:tcBorders>
              <w:top w:val="none" w:sz="4" w:space="0" w:color="000000"/>
              <w:left w:val="singl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left"/>
              <w:rPr>
                <w:color w:val="000000"/>
                <w:sz w:val="24"/>
                <w:szCs w:val="24"/>
              </w:rPr>
            </w:pPr>
            <w:r>
              <w:rPr>
                <w:color w:val="000000"/>
                <w:sz w:val="24"/>
                <w:szCs w:val="24"/>
              </w:rPr>
              <w:t>40-44</w:t>
            </w:r>
          </w:p>
        </w:tc>
        <w:tc>
          <w:tcPr>
            <w:tcW w:w="1843" w:type="dxa"/>
            <w:tcBorders>
              <w:top w:val="non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color w:val="000000"/>
                <w:sz w:val="24"/>
                <w:szCs w:val="24"/>
              </w:rPr>
            </w:pPr>
            <w:r>
              <w:rPr>
                <w:color w:val="000000"/>
                <w:sz w:val="24"/>
                <w:szCs w:val="24"/>
              </w:rPr>
              <w:t>156 129</w:t>
            </w:r>
          </w:p>
        </w:tc>
        <w:tc>
          <w:tcPr>
            <w:tcW w:w="1701" w:type="dxa"/>
            <w:tcBorders>
              <w:top w:val="non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color w:val="000000"/>
                <w:sz w:val="24"/>
                <w:szCs w:val="24"/>
              </w:rPr>
            </w:pPr>
            <w:r>
              <w:rPr>
                <w:color w:val="000000"/>
                <w:sz w:val="24"/>
                <w:szCs w:val="24"/>
              </w:rPr>
              <w:t>74 973</w:t>
            </w:r>
          </w:p>
        </w:tc>
        <w:tc>
          <w:tcPr>
            <w:tcW w:w="1701" w:type="dxa"/>
            <w:tcBorders>
              <w:top w:val="non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color w:val="000000"/>
                <w:sz w:val="24"/>
                <w:szCs w:val="24"/>
              </w:rPr>
            </w:pPr>
            <w:r>
              <w:rPr>
                <w:color w:val="000000"/>
                <w:sz w:val="24"/>
                <w:szCs w:val="24"/>
              </w:rPr>
              <w:t>81 156</w:t>
            </w:r>
          </w:p>
        </w:tc>
      </w:tr>
      <w:tr w:rsidR="00DC1467">
        <w:trPr>
          <w:trHeight w:val="227"/>
        </w:trPr>
        <w:tc>
          <w:tcPr>
            <w:tcW w:w="3984" w:type="dxa"/>
            <w:tcBorders>
              <w:top w:val="none" w:sz="4" w:space="0" w:color="000000"/>
              <w:left w:val="singl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left"/>
              <w:rPr>
                <w:color w:val="000000"/>
                <w:sz w:val="24"/>
                <w:szCs w:val="24"/>
              </w:rPr>
            </w:pPr>
            <w:r>
              <w:rPr>
                <w:color w:val="000000"/>
                <w:sz w:val="24"/>
                <w:szCs w:val="24"/>
              </w:rPr>
              <w:t>45-49</w:t>
            </w:r>
          </w:p>
        </w:tc>
        <w:tc>
          <w:tcPr>
            <w:tcW w:w="1843" w:type="dxa"/>
            <w:tcBorders>
              <w:top w:val="non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color w:val="000000"/>
                <w:sz w:val="24"/>
                <w:szCs w:val="24"/>
              </w:rPr>
            </w:pPr>
            <w:r>
              <w:rPr>
                <w:color w:val="000000"/>
                <w:sz w:val="24"/>
                <w:szCs w:val="24"/>
              </w:rPr>
              <w:t>135 397</w:t>
            </w:r>
          </w:p>
        </w:tc>
        <w:tc>
          <w:tcPr>
            <w:tcW w:w="1701" w:type="dxa"/>
            <w:tcBorders>
              <w:top w:val="non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color w:val="000000"/>
                <w:sz w:val="24"/>
                <w:szCs w:val="24"/>
              </w:rPr>
            </w:pPr>
            <w:r>
              <w:rPr>
                <w:color w:val="000000"/>
                <w:sz w:val="24"/>
                <w:szCs w:val="24"/>
              </w:rPr>
              <w:t>64 295</w:t>
            </w:r>
          </w:p>
        </w:tc>
        <w:tc>
          <w:tcPr>
            <w:tcW w:w="1701" w:type="dxa"/>
            <w:tcBorders>
              <w:top w:val="non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color w:val="000000"/>
                <w:sz w:val="24"/>
                <w:szCs w:val="24"/>
              </w:rPr>
            </w:pPr>
            <w:r>
              <w:rPr>
                <w:color w:val="000000"/>
                <w:sz w:val="24"/>
                <w:szCs w:val="24"/>
              </w:rPr>
              <w:t>71 102</w:t>
            </w:r>
          </w:p>
        </w:tc>
      </w:tr>
      <w:tr w:rsidR="00DC1467">
        <w:trPr>
          <w:trHeight w:val="227"/>
        </w:trPr>
        <w:tc>
          <w:tcPr>
            <w:tcW w:w="3984" w:type="dxa"/>
            <w:tcBorders>
              <w:top w:val="none" w:sz="4" w:space="0" w:color="000000"/>
              <w:left w:val="singl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left"/>
              <w:rPr>
                <w:color w:val="000000"/>
                <w:sz w:val="24"/>
                <w:szCs w:val="24"/>
              </w:rPr>
            </w:pPr>
            <w:r>
              <w:rPr>
                <w:color w:val="000000"/>
                <w:sz w:val="24"/>
                <w:szCs w:val="24"/>
              </w:rPr>
              <w:t>50 и старше, из них:</w:t>
            </w:r>
          </w:p>
        </w:tc>
        <w:tc>
          <w:tcPr>
            <w:tcW w:w="1843" w:type="dxa"/>
            <w:tcBorders>
              <w:top w:val="non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color w:val="000000"/>
                <w:sz w:val="24"/>
                <w:szCs w:val="24"/>
              </w:rPr>
            </w:pPr>
            <w:r>
              <w:rPr>
                <w:color w:val="000000"/>
                <w:sz w:val="24"/>
                <w:szCs w:val="24"/>
              </w:rPr>
              <w:t>507 206</w:t>
            </w:r>
          </w:p>
        </w:tc>
        <w:tc>
          <w:tcPr>
            <w:tcW w:w="1701" w:type="dxa"/>
            <w:tcBorders>
              <w:top w:val="non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color w:val="000000"/>
                <w:sz w:val="24"/>
                <w:szCs w:val="24"/>
              </w:rPr>
            </w:pPr>
            <w:r>
              <w:rPr>
                <w:color w:val="000000"/>
                <w:sz w:val="24"/>
                <w:szCs w:val="24"/>
              </w:rPr>
              <w:t>220 619</w:t>
            </w:r>
          </w:p>
        </w:tc>
        <w:tc>
          <w:tcPr>
            <w:tcW w:w="1701" w:type="dxa"/>
            <w:tcBorders>
              <w:top w:val="non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color w:val="000000"/>
                <w:sz w:val="24"/>
                <w:szCs w:val="24"/>
              </w:rPr>
            </w:pPr>
            <w:r>
              <w:rPr>
                <w:color w:val="000000"/>
                <w:sz w:val="24"/>
                <w:szCs w:val="24"/>
              </w:rPr>
              <w:t>286 587</w:t>
            </w:r>
          </w:p>
        </w:tc>
      </w:tr>
      <w:tr w:rsidR="00DC1467">
        <w:trPr>
          <w:trHeight w:val="227"/>
        </w:trPr>
        <w:tc>
          <w:tcPr>
            <w:tcW w:w="3984" w:type="dxa"/>
            <w:tcBorders>
              <w:top w:val="none" w:sz="4" w:space="0" w:color="000000"/>
              <w:left w:val="singl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720"/>
              <w:jc w:val="left"/>
              <w:rPr>
                <w:color w:val="000000"/>
                <w:sz w:val="24"/>
                <w:szCs w:val="24"/>
              </w:rPr>
            </w:pPr>
            <w:r>
              <w:rPr>
                <w:color w:val="000000"/>
                <w:sz w:val="24"/>
                <w:szCs w:val="24"/>
              </w:rPr>
              <w:t>50-54</w:t>
            </w:r>
          </w:p>
        </w:tc>
        <w:tc>
          <w:tcPr>
            <w:tcW w:w="1843" w:type="dxa"/>
            <w:tcBorders>
              <w:top w:val="non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color w:val="000000"/>
                <w:sz w:val="24"/>
                <w:szCs w:val="24"/>
              </w:rPr>
            </w:pPr>
            <w:r>
              <w:rPr>
                <w:color w:val="000000"/>
                <w:sz w:val="24"/>
                <w:szCs w:val="24"/>
              </w:rPr>
              <w:t>115 886</w:t>
            </w:r>
          </w:p>
        </w:tc>
        <w:tc>
          <w:tcPr>
            <w:tcW w:w="1701" w:type="dxa"/>
            <w:tcBorders>
              <w:top w:val="non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color w:val="000000"/>
                <w:sz w:val="24"/>
                <w:szCs w:val="24"/>
              </w:rPr>
            </w:pPr>
            <w:r>
              <w:rPr>
                <w:color w:val="000000"/>
                <w:sz w:val="24"/>
                <w:szCs w:val="24"/>
              </w:rPr>
              <w:t>55 565</w:t>
            </w:r>
          </w:p>
        </w:tc>
        <w:tc>
          <w:tcPr>
            <w:tcW w:w="1701" w:type="dxa"/>
            <w:tcBorders>
              <w:top w:val="non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color w:val="000000"/>
                <w:sz w:val="24"/>
                <w:szCs w:val="24"/>
              </w:rPr>
            </w:pPr>
            <w:r>
              <w:rPr>
                <w:color w:val="000000"/>
                <w:sz w:val="24"/>
                <w:szCs w:val="24"/>
              </w:rPr>
              <w:t>60 321</w:t>
            </w:r>
          </w:p>
        </w:tc>
      </w:tr>
      <w:tr w:rsidR="00DC1467">
        <w:trPr>
          <w:trHeight w:val="227"/>
        </w:trPr>
        <w:tc>
          <w:tcPr>
            <w:tcW w:w="3984" w:type="dxa"/>
            <w:tcBorders>
              <w:top w:val="none" w:sz="4" w:space="0" w:color="000000"/>
              <w:left w:val="singl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720"/>
              <w:jc w:val="left"/>
              <w:rPr>
                <w:color w:val="000000"/>
                <w:sz w:val="24"/>
                <w:szCs w:val="24"/>
              </w:rPr>
            </w:pPr>
            <w:r>
              <w:rPr>
                <w:color w:val="000000"/>
                <w:sz w:val="24"/>
                <w:szCs w:val="24"/>
              </w:rPr>
              <w:t>55-59</w:t>
            </w:r>
          </w:p>
        </w:tc>
        <w:tc>
          <w:tcPr>
            <w:tcW w:w="1843" w:type="dxa"/>
            <w:tcBorders>
              <w:top w:val="non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color w:val="000000"/>
                <w:sz w:val="24"/>
                <w:szCs w:val="24"/>
              </w:rPr>
            </w:pPr>
            <w:r>
              <w:rPr>
                <w:color w:val="000000"/>
                <w:sz w:val="24"/>
                <w:szCs w:val="24"/>
              </w:rPr>
              <w:t>102 212</w:t>
            </w:r>
          </w:p>
        </w:tc>
        <w:tc>
          <w:tcPr>
            <w:tcW w:w="1701" w:type="dxa"/>
            <w:tcBorders>
              <w:top w:val="non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color w:val="000000"/>
                <w:sz w:val="24"/>
                <w:szCs w:val="24"/>
              </w:rPr>
            </w:pPr>
            <w:r>
              <w:rPr>
                <w:color w:val="000000"/>
                <w:sz w:val="24"/>
                <w:szCs w:val="24"/>
              </w:rPr>
              <w:t>48 275</w:t>
            </w:r>
          </w:p>
        </w:tc>
        <w:tc>
          <w:tcPr>
            <w:tcW w:w="1701" w:type="dxa"/>
            <w:tcBorders>
              <w:top w:val="non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color w:val="000000"/>
                <w:sz w:val="24"/>
                <w:szCs w:val="24"/>
              </w:rPr>
            </w:pPr>
            <w:r>
              <w:rPr>
                <w:color w:val="000000"/>
                <w:sz w:val="24"/>
                <w:szCs w:val="24"/>
              </w:rPr>
              <w:t>53 937</w:t>
            </w:r>
          </w:p>
        </w:tc>
      </w:tr>
      <w:tr w:rsidR="00DC1467">
        <w:trPr>
          <w:trHeight w:val="227"/>
        </w:trPr>
        <w:tc>
          <w:tcPr>
            <w:tcW w:w="3984" w:type="dxa"/>
            <w:tcBorders>
              <w:top w:val="none" w:sz="4" w:space="0" w:color="000000"/>
              <w:left w:val="singl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720"/>
              <w:jc w:val="left"/>
              <w:rPr>
                <w:color w:val="000000"/>
                <w:sz w:val="24"/>
                <w:szCs w:val="24"/>
              </w:rPr>
            </w:pPr>
            <w:r>
              <w:rPr>
                <w:bCs/>
                <w:color w:val="000000"/>
                <w:sz w:val="24"/>
                <w:szCs w:val="24"/>
              </w:rPr>
              <w:t>60 и старше</w:t>
            </w:r>
          </w:p>
        </w:tc>
        <w:tc>
          <w:tcPr>
            <w:tcW w:w="1843" w:type="dxa"/>
            <w:tcBorders>
              <w:top w:val="non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color w:val="000000"/>
                <w:sz w:val="24"/>
                <w:szCs w:val="24"/>
              </w:rPr>
            </w:pPr>
            <w:r>
              <w:rPr>
                <w:color w:val="000000"/>
                <w:sz w:val="24"/>
                <w:szCs w:val="24"/>
              </w:rPr>
              <w:t>289 108</w:t>
            </w:r>
          </w:p>
        </w:tc>
        <w:tc>
          <w:tcPr>
            <w:tcW w:w="1701" w:type="dxa"/>
            <w:tcBorders>
              <w:top w:val="non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color w:val="000000"/>
                <w:sz w:val="24"/>
                <w:szCs w:val="24"/>
              </w:rPr>
            </w:pPr>
            <w:r>
              <w:rPr>
                <w:color w:val="000000"/>
                <w:sz w:val="24"/>
                <w:szCs w:val="24"/>
              </w:rPr>
              <w:t>116 779</w:t>
            </w:r>
          </w:p>
        </w:tc>
        <w:tc>
          <w:tcPr>
            <w:tcW w:w="1701" w:type="dxa"/>
            <w:tcBorders>
              <w:top w:val="non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color w:val="000000"/>
                <w:sz w:val="24"/>
                <w:szCs w:val="24"/>
              </w:rPr>
            </w:pPr>
            <w:r>
              <w:rPr>
                <w:color w:val="000000"/>
                <w:sz w:val="24"/>
                <w:szCs w:val="24"/>
              </w:rPr>
              <w:t>172 329</w:t>
            </w:r>
          </w:p>
        </w:tc>
      </w:tr>
      <w:tr w:rsidR="00DC1467">
        <w:trPr>
          <w:trHeight w:val="227"/>
        </w:trPr>
        <w:tc>
          <w:tcPr>
            <w:tcW w:w="3984" w:type="dxa"/>
            <w:tcBorders>
              <w:top w:val="none" w:sz="4" w:space="0" w:color="000000"/>
              <w:left w:val="singl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left"/>
              <w:rPr>
                <w:color w:val="000000"/>
                <w:sz w:val="24"/>
                <w:szCs w:val="24"/>
              </w:rPr>
            </w:pPr>
            <w:r>
              <w:rPr>
                <w:color w:val="000000"/>
                <w:sz w:val="24"/>
                <w:szCs w:val="24"/>
              </w:rPr>
              <w:t xml:space="preserve">Численность постоянного населения в среднем за год </w:t>
            </w:r>
          </w:p>
        </w:tc>
        <w:tc>
          <w:tcPr>
            <w:tcW w:w="5245" w:type="dxa"/>
            <w:gridSpan w:val="3"/>
            <w:tcBorders>
              <w:top w:val="singl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color w:val="000000"/>
                <w:sz w:val="24"/>
                <w:szCs w:val="24"/>
              </w:rPr>
            </w:pPr>
            <w:r>
              <w:rPr>
                <w:color w:val="000000"/>
                <w:sz w:val="24"/>
                <w:szCs w:val="24"/>
              </w:rPr>
              <w:t>1 744 869</w:t>
            </w:r>
          </w:p>
        </w:tc>
      </w:tr>
    </w:tbl>
    <w:p w:rsidR="00DC1467" w:rsidRDefault="00DC1467">
      <w:pPr>
        <w:spacing w:line="240" w:lineRule="auto"/>
        <w:ind w:firstLine="709"/>
      </w:pPr>
    </w:p>
    <w:p w:rsidR="00DC1467" w:rsidRDefault="00B70D3E">
      <w:pPr>
        <w:spacing w:line="276" w:lineRule="auto"/>
        <w:ind w:firstLine="709"/>
        <w:rPr>
          <w:rFonts w:eastAsia="Calibri"/>
        </w:rPr>
      </w:pPr>
      <w:r>
        <w:rPr>
          <w:rFonts w:eastAsia="Calibri"/>
        </w:rPr>
        <w:t xml:space="preserve">Ханты-Мансийский автономный округ – Югра относится к одному </w:t>
      </w:r>
      <w:r>
        <w:rPr>
          <w:rFonts w:eastAsia="Calibri"/>
        </w:rPr>
        <w:br/>
      </w:r>
      <w:r>
        <w:rPr>
          <w:rFonts w:eastAsia="Calibri"/>
        </w:rPr>
        <w:t>из самых «молодых» регионов Российской Федерации. Средний возраст населения Ханты-Мансийского автономного округа – Югры на 1 января 2024 года составил 36,8 года, увеличившись на 0,35 года в сравнении с 2022 годом (на 1 января 2023 года – 36,45). Средний во</w:t>
      </w:r>
      <w:r>
        <w:rPr>
          <w:rFonts w:eastAsia="Calibri"/>
        </w:rPr>
        <w:t>зраст граждан автономного округа на 4,17 года моложе, чем средний возраст граждан Российской Федерации (40,97 года). На 1 января 2024 года в структуре населения автономного округа:</w:t>
      </w:r>
    </w:p>
    <w:p w:rsidR="00DC1467" w:rsidRDefault="00B70D3E">
      <w:pPr>
        <w:spacing w:line="276" w:lineRule="auto"/>
        <w:ind w:firstLine="709"/>
        <w:rPr>
          <w:rFonts w:eastAsia="Calibri"/>
        </w:rPr>
      </w:pPr>
      <w:r>
        <w:rPr>
          <w:rFonts w:eastAsia="Calibri"/>
        </w:rPr>
        <w:t>- доля лиц моложе трудоспособного возраста составила 22,4 % (на 1 января 20</w:t>
      </w:r>
      <w:r>
        <w:rPr>
          <w:rFonts w:eastAsia="Calibri"/>
        </w:rPr>
        <w:t>23 года – 22,5 %), что на 4,0 % выше, чем в среднем по России (18,4 %);</w:t>
      </w:r>
    </w:p>
    <w:p w:rsidR="00DC1467" w:rsidRDefault="00B70D3E">
      <w:pPr>
        <w:spacing w:line="276" w:lineRule="auto"/>
        <w:ind w:firstLine="709"/>
        <w:rPr>
          <w:rFonts w:eastAsia="Calibri"/>
        </w:rPr>
      </w:pPr>
      <w:r>
        <w:rPr>
          <w:rFonts w:eastAsia="Calibri"/>
        </w:rPr>
        <w:t>- доля трудоспособного населения – 61,6 % (на 1 января 2023 года – 61,5%), что на 3,6 % выше, чем по Российской Федерации (58,0 %);</w:t>
      </w:r>
    </w:p>
    <w:p w:rsidR="00DC1467" w:rsidRDefault="00B70D3E">
      <w:pPr>
        <w:spacing w:line="276" w:lineRule="auto"/>
        <w:ind w:firstLine="709"/>
        <w:rPr>
          <w:rFonts w:eastAsia="Calibri"/>
        </w:rPr>
      </w:pPr>
      <w:r>
        <w:rPr>
          <w:rFonts w:eastAsia="Calibri"/>
        </w:rPr>
        <w:t>- доля граждан старше трудоспособного возраста – 16,</w:t>
      </w:r>
      <w:r>
        <w:rPr>
          <w:rFonts w:eastAsia="Calibri"/>
        </w:rPr>
        <w:t>0 % (на 1 января 2023 года – 16,6 %), что на 7,7 % ниже, чем в среднем по Российской Федерации (23,7 %).</w:t>
      </w:r>
    </w:p>
    <w:p w:rsidR="00DC1467" w:rsidRDefault="00B70D3E">
      <w:pPr>
        <w:spacing w:line="276" w:lineRule="auto"/>
        <w:ind w:firstLine="709"/>
        <w:rPr>
          <w:rFonts w:eastAsia="Calibri"/>
        </w:rPr>
      </w:pPr>
      <w:r>
        <w:rPr>
          <w:rFonts w:eastAsia="Calibri"/>
        </w:rPr>
        <w:lastRenderedPageBreak/>
        <w:t>По итогам 2023 года в структуре населения Югры в сравнении с 2022 годом наблюдается увеличение числа граждан трудоспособного возраста на 0,1 %, уменьше</w:t>
      </w:r>
      <w:r>
        <w:rPr>
          <w:rFonts w:eastAsia="Calibri"/>
        </w:rPr>
        <w:t>ние лиц моложе трудоспособного возраста на 0,1 % и старше трудоспособного населения на 0,6 %</w:t>
      </w:r>
      <w:r>
        <w:rPr>
          <w:rStyle w:val="af1"/>
          <w:rFonts w:eastAsia="Calibri"/>
        </w:rPr>
        <w:footnoteReference w:id="1"/>
      </w:r>
      <w:r>
        <w:rPr>
          <w:rFonts w:eastAsia="Calibri"/>
        </w:rPr>
        <w:t>.</w:t>
      </w:r>
    </w:p>
    <w:p w:rsidR="00DC1467" w:rsidRDefault="00B70D3E">
      <w:pPr>
        <w:spacing w:line="276" w:lineRule="auto"/>
        <w:ind w:firstLine="709"/>
      </w:pPr>
      <w:r>
        <w:t xml:space="preserve">Итоги социально-экономического развития Ханты-Мансийского автономного округа – Югры (см. табл. 2) на начало 2024 года характеризуют его устойчивое </w:t>
      </w:r>
      <w:r>
        <w:rPr>
          <w:b/>
          <w:i/>
        </w:rPr>
        <w:t>социально-экон</w:t>
      </w:r>
      <w:r>
        <w:rPr>
          <w:b/>
          <w:i/>
        </w:rPr>
        <w:t>омическое положение</w:t>
      </w:r>
      <w:r>
        <w:t>.</w:t>
      </w:r>
    </w:p>
    <w:p w:rsidR="00DC1467" w:rsidRDefault="00B70D3E">
      <w:pPr>
        <w:spacing w:line="276" w:lineRule="auto"/>
        <w:ind w:firstLine="709"/>
        <w:jc w:val="right"/>
      </w:pPr>
      <w:r>
        <w:t>Таблица 2</w:t>
      </w:r>
    </w:p>
    <w:p w:rsidR="00DC1467" w:rsidRDefault="00B70D3E">
      <w:pPr>
        <w:widowControl w:val="0"/>
        <w:spacing w:line="276" w:lineRule="auto"/>
        <w:jc w:val="center"/>
        <w:rPr>
          <w:b/>
        </w:rPr>
      </w:pPr>
      <w:r>
        <w:rPr>
          <w:b/>
        </w:rPr>
        <w:t xml:space="preserve">Динамика социально-экономического развития </w:t>
      </w:r>
    </w:p>
    <w:p w:rsidR="00DC1467" w:rsidRDefault="00B70D3E">
      <w:pPr>
        <w:widowControl w:val="0"/>
        <w:spacing w:line="276" w:lineRule="auto"/>
        <w:jc w:val="center"/>
        <w:rPr>
          <w:b/>
          <w:bCs/>
        </w:rPr>
      </w:pPr>
      <w:r>
        <w:rPr>
          <w:b/>
        </w:rPr>
        <w:t>Ханты-Мансийского автономного округа – Югры</w:t>
      </w:r>
    </w:p>
    <w:tbl>
      <w:tblPr>
        <w:tblW w:w="9351" w:type="dxa"/>
        <w:tblInd w:w="113" w:type="dxa"/>
        <w:tblLook w:val="04A0" w:firstRow="1" w:lastRow="0" w:firstColumn="1" w:lastColumn="0" w:noHBand="0" w:noVBand="1"/>
      </w:tblPr>
      <w:tblGrid>
        <w:gridCol w:w="4815"/>
        <w:gridCol w:w="1559"/>
        <w:gridCol w:w="1559"/>
        <w:gridCol w:w="1418"/>
      </w:tblGrid>
      <w:tr w:rsidR="00DC1467">
        <w:trPr>
          <w:trHeight w:val="330"/>
        </w:trPr>
        <w:tc>
          <w:tcPr>
            <w:tcW w:w="4815" w:type="dxa"/>
            <w:vMerge w:val="restart"/>
            <w:tcBorders>
              <w:top w:val="single" w:sz="4" w:space="0" w:color="000000"/>
              <w:left w:val="singl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color w:val="000000"/>
                <w:sz w:val="24"/>
                <w:szCs w:val="24"/>
              </w:rPr>
            </w:pPr>
            <w:r>
              <w:rPr>
                <w:color w:val="000000"/>
                <w:sz w:val="24"/>
                <w:szCs w:val="24"/>
              </w:rPr>
              <w:t>Показатели</w:t>
            </w:r>
          </w:p>
        </w:tc>
        <w:tc>
          <w:tcPr>
            <w:tcW w:w="4536" w:type="dxa"/>
            <w:gridSpan w:val="3"/>
            <w:tcBorders>
              <w:top w:val="singl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color w:val="000000"/>
                <w:sz w:val="24"/>
                <w:szCs w:val="24"/>
              </w:rPr>
            </w:pPr>
            <w:r>
              <w:rPr>
                <w:color w:val="000000"/>
                <w:sz w:val="24"/>
                <w:szCs w:val="24"/>
              </w:rPr>
              <w:t>Январь-декабрь</w:t>
            </w:r>
          </w:p>
        </w:tc>
      </w:tr>
      <w:tr w:rsidR="00DC1467">
        <w:trPr>
          <w:trHeight w:val="315"/>
        </w:trPr>
        <w:tc>
          <w:tcPr>
            <w:tcW w:w="4815" w:type="dxa"/>
            <w:vMerge/>
            <w:tcBorders>
              <w:top w:val="single" w:sz="4" w:space="0" w:color="000000"/>
              <w:left w:val="single" w:sz="4" w:space="0" w:color="000000"/>
              <w:bottom w:val="single" w:sz="4" w:space="0" w:color="000000"/>
              <w:right w:val="single" w:sz="4" w:space="0" w:color="000000"/>
            </w:tcBorders>
            <w:vAlign w:val="center"/>
          </w:tcPr>
          <w:p w:rsidR="00DC1467" w:rsidRDefault="00DC1467">
            <w:pPr>
              <w:spacing w:line="240" w:lineRule="auto"/>
              <w:ind w:firstLine="0"/>
              <w:jc w:val="left"/>
              <w:rPr>
                <w:color w:val="000000"/>
                <w:sz w:val="24"/>
                <w:szCs w:val="24"/>
              </w:rPr>
            </w:pPr>
          </w:p>
        </w:tc>
        <w:tc>
          <w:tcPr>
            <w:tcW w:w="1559" w:type="dxa"/>
            <w:tcBorders>
              <w:top w:val="non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color w:val="000000"/>
                <w:sz w:val="24"/>
                <w:szCs w:val="24"/>
              </w:rPr>
            </w:pPr>
            <w:r>
              <w:rPr>
                <w:color w:val="000000"/>
                <w:sz w:val="24"/>
                <w:szCs w:val="24"/>
              </w:rPr>
              <w:t>2021</w:t>
            </w:r>
          </w:p>
        </w:tc>
        <w:tc>
          <w:tcPr>
            <w:tcW w:w="1559" w:type="dxa"/>
            <w:tcBorders>
              <w:top w:val="non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color w:val="000000"/>
                <w:sz w:val="24"/>
                <w:szCs w:val="24"/>
              </w:rPr>
            </w:pPr>
            <w:r>
              <w:rPr>
                <w:color w:val="000000"/>
                <w:sz w:val="24"/>
                <w:szCs w:val="24"/>
              </w:rPr>
              <w:t>2022</w:t>
            </w:r>
          </w:p>
        </w:tc>
        <w:tc>
          <w:tcPr>
            <w:tcW w:w="1418" w:type="dxa"/>
            <w:tcBorders>
              <w:top w:val="non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color w:val="000000"/>
                <w:sz w:val="24"/>
                <w:szCs w:val="24"/>
              </w:rPr>
            </w:pPr>
            <w:r>
              <w:rPr>
                <w:color w:val="000000"/>
                <w:sz w:val="24"/>
                <w:szCs w:val="24"/>
              </w:rPr>
              <w:t>2023</w:t>
            </w:r>
          </w:p>
        </w:tc>
      </w:tr>
      <w:tr w:rsidR="00DC1467">
        <w:trPr>
          <w:trHeight w:val="283"/>
        </w:trPr>
        <w:tc>
          <w:tcPr>
            <w:tcW w:w="4815" w:type="dxa"/>
            <w:tcBorders>
              <w:top w:val="none" w:sz="4" w:space="0" w:color="000000"/>
              <w:left w:val="singl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left"/>
              <w:rPr>
                <w:color w:val="000000"/>
                <w:sz w:val="24"/>
                <w:szCs w:val="24"/>
              </w:rPr>
            </w:pPr>
            <w:r>
              <w:rPr>
                <w:color w:val="000000"/>
                <w:sz w:val="24"/>
                <w:szCs w:val="24"/>
              </w:rPr>
              <w:t>Индекс промышленного производства, в % к предыдущему году</w:t>
            </w:r>
          </w:p>
        </w:tc>
        <w:tc>
          <w:tcPr>
            <w:tcW w:w="1559" w:type="dxa"/>
            <w:tcBorders>
              <w:top w:val="non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color w:val="000000"/>
                <w:sz w:val="24"/>
                <w:szCs w:val="24"/>
              </w:rPr>
            </w:pPr>
            <w:r>
              <w:rPr>
                <w:color w:val="000000"/>
                <w:sz w:val="24"/>
                <w:szCs w:val="24"/>
              </w:rPr>
              <w:t>102,0</w:t>
            </w:r>
          </w:p>
        </w:tc>
        <w:tc>
          <w:tcPr>
            <w:tcW w:w="1559" w:type="dxa"/>
            <w:tcBorders>
              <w:top w:val="non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color w:val="000000"/>
                <w:sz w:val="24"/>
                <w:szCs w:val="24"/>
              </w:rPr>
            </w:pPr>
            <w:r>
              <w:rPr>
                <w:color w:val="000000"/>
                <w:sz w:val="24"/>
                <w:szCs w:val="24"/>
              </w:rPr>
              <w:t>103,1</w:t>
            </w:r>
          </w:p>
        </w:tc>
        <w:tc>
          <w:tcPr>
            <w:tcW w:w="1418" w:type="dxa"/>
            <w:tcBorders>
              <w:top w:val="non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color w:val="000000"/>
                <w:sz w:val="24"/>
                <w:szCs w:val="24"/>
              </w:rPr>
            </w:pPr>
            <w:r>
              <w:rPr>
                <w:color w:val="000000"/>
                <w:sz w:val="24"/>
                <w:szCs w:val="24"/>
              </w:rPr>
              <w:t>98,5</w:t>
            </w:r>
          </w:p>
        </w:tc>
      </w:tr>
      <w:tr w:rsidR="00DC1467">
        <w:trPr>
          <w:trHeight w:val="283"/>
        </w:trPr>
        <w:tc>
          <w:tcPr>
            <w:tcW w:w="4815" w:type="dxa"/>
            <w:tcBorders>
              <w:top w:val="none" w:sz="4" w:space="0" w:color="000000"/>
              <w:left w:val="singl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left"/>
              <w:rPr>
                <w:color w:val="000000"/>
                <w:sz w:val="24"/>
                <w:szCs w:val="24"/>
              </w:rPr>
            </w:pPr>
            <w:r>
              <w:rPr>
                <w:color w:val="000000"/>
                <w:sz w:val="24"/>
                <w:szCs w:val="24"/>
              </w:rPr>
              <w:t>Ввод в действие жилых домов с учетом жилых домов, построенных на земельных участках, предназначенных для ведения гражданами садоводства, тыс. кв. м</w:t>
            </w:r>
          </w:p>
        </w:tc>
        <w:tc>
          <w:tcPr>
            <w:tcW w:w="1559" w:type="dxa"/>
            <w:tcBorders>
              <w:top w:val="non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color w:val="000000"/>
                <w:sz w:val="24"/>
                <w:szCs w:val="24"/>
              </w:rPr>
            </w:pPr>
            <w:r>
              <w:rPr>
                <w:color w:val="000000"/>
                <w:sz w:val="24"/>
                <w:szCs w:val="24"/>
              </w:rPr>
              <w:t>898,2</w:t>
            </w:r>
          </w:p>
        </w:tc>
        <w:tc>
          <w:tcPr>
            <w:tcW w:w="1559" w:type="dxa"/>
            <w:tcBorders>
              <w:top w:val="non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color w:val="000000"/>
                <w:sz w:val="24"/>
                <w:szCs w:val="24"/>
              </w:rPr>
            </w:pPr>
            <w:r>
              <w:rPr>
                <w:color w:val="000000"/>
                <w:sz w:val="24"/>
                <w:szCs w:val="24"/>
              </w:rPr>
              <w:t>877,8</w:t>
            </w:r>
          </w:p>
        </w:tc>
        <w:tc>
          <w:tcPr>
            <w:tcW w:w="1418" w:type="dxa"/>
            <w:tcBorders>
              <w:top w:val="non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color w:val="000000"/>
                <w:sz w:val="24"/>
                <w:szCs w:val="24"/>
              </w:rPr>
            </w:pPr>
            <w:r>
              <w:rPr>
                <w:color w:val="000000"/>
                <w:sz w:val="24"/>
                <w:szCs w:val="24"/>
              </w:rPr>
              <w:t>955,3</w:t>
            </w:r>
          </w:p>
        </w:tc>
      </w:tr>
      <w:tr w:rsidR="00DC1467">
        <w:trPr>
          <w:trHeight w:val="283"/>
        </w:trPr>
        <w:tc>
          <w:tcPr>
            <w:tcW w:w="4815" w:type="dxa"/>
            <w:tcBorders>
              <w:top w:val="none" w:sz="4" w:space="0" w:color="000000"/>
              <w:left w:val="singl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left"/>
              <w:rPr>
                <w:color w:val="000000"/>
                <w:sz w:val="24"/>
                <w:szCs w:val="24"/>
              </w:rPr>
            </w:pPr>
            <w:r>
              <w:rPr>
                <w:color w:val="000000"/>
                <w:sz w:val="24"/>
                <w:szCs w:val="24"/>
              </w:rPr>
              <w:t xml:space="preserve">Среднедушевые доходы населения, рублей в месяц </w:t>
            </w:r>
          </w:p>
        </w:tc>
        <w:tc>
          <w:tcPr>
            <w:tcW w:w="1559" w:type="dxa"/>
            <w:tcBorders>
              <w:top w:val="non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color w:val="000000"/>
                <w:sz w:val="24"/>
                <w:szCs w:val="24"/>
              </w:rPr>
            </w:pPr>
            <w:r>
              <w:rPr>
                <w:color w:val="000000"/>
                <w:sz w:val="24"/>
                <w:szCs w:val="24"/>
              </w:rPr>
              <w:t>56 643,6</w:t>
            </w:r>
          </w:p>
        </w:tc>
        <w:tc>
          <w:tcPr>
            <w:tcW w:w="1559" w:type="dxa"/>
            <w:tcBorders>
              <w:top w:val="non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color w:val="000000"/>
                <w:sz w:val="24"/>
                <w:szCs w:val="24"/>
              </w:rPr>
            </w:pPr>
            <w:r>
              <w:rPr>
                <w:color w:val="000000"/>
                <w:sz w:val="24"/>
                <w:szCs w:val="24"/>
              </w:rPr>
              <w:t>66 517,0</w:t>
            </w:r>
          </w:p>
        </w:tc>
        <w:tc>
          <w:tcPr>
            <w:tcW w:w="1418" w:type="dxa"/>
            <w:tcBorders>
              <w:top w:val="non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color w:val="000000"/>
                <w:sz w:val="24"/>
                <w:szCs w:val="24"/>
              </w:rPr>
            </w:pPr>
            <w:r>
              <w:rPr>
                <w:color w:val="000000"/>
                <w:sz w:val="24"/>
                <w:szCs w:val="24"/>
              </w:rPr>
              <w:t>72 634,0</w:t>
            </w:r>
          </w:p>
        </w:tc>
      </w:tr>
      <w:tr w:rsidR="00DC1467">
        <w:trPr>
          <w:trHeight w:val="283"/>
        </w:trPr>
        <w:tc>
          <w:tcPr>
            <w:tcW w:w="4815" w:type="dxa"/>
            <w:tcBorders>
              <w:top w:val="none" w:sz="4" w:space="0" w:color="000000"/>
              <w:left w:val="singl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left"/>
              <w:rPr>
                <w:color w:val="000000"/>
                <w:sz w:val="24"/>
                <w:szCs w:val="24"/>
              </w:rPr>
            </w:pPr>
            <w:r>
              <w:rPr>
                <w:color w:val="000000"/>
                <w:sz w:val="24"/>
                <w:szCs w:val="24"/>
              </w:rPr>
              <w:t>Реальные дене</w:t>
            </w:r>
            <w:r>
              <w:rPr>
                <w:color w:val="000000"/>
                <w:sz w:val="24"/>
                <w:szCs w:val="24"/>
              </w:rPr>
              <w:t>жные доходы населения, в % к предыдущему году</w:t>
            </w:r>
          </w:p>
        </w:tc>
        <w:tc>
          <w:tcPr>
            <w:tcW w:w="1559" w:type="dxa"/>
            <w:tcBorders>
              <w:top w:val="non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color w:val="000000"/>
                <w:sz w:val="24"/>
                <w:szCs w:val="24"/>
              </w:rPr>
            </w:pPr>
            <w:r>
              <w:rPr>
                <w:color w:val="000000"/>
                <w:sz w:val="24"/>
                <w:szCs w:val="24"/>
              </w:rPr>
              <w:t>100,9</w:t>
            </w:r>
          </w:p>
        </w:tc>
        <w:tc>
          <w:tcPr>
            <w:tcW w:w="1559" w:type="dxa"/>
            <w:tcBorders>
              <w:top w:val="non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color w:val="000000"/>
                <w:sz w:val="24"/>
                <w:szCs w:val="24"/>
              </w:rPr>
            </w:pPr>
            <w:r>
              <w:rPr>
                <w:color w:val="000000"/>
                <w:sz w:val="24"/>
                <w:szCs w:val="24"/>
              </w:rPr>
              <w:t>109,9</w:t>
            </w:r>
          </w:p>
        </w:tc>
        <w:tc>
          <w:tcPr>
            <w:tcW w:w="1418" w:type="dxa"/>
            <w:tcBorders>
              <w:top w:val="non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color w:val="000000"/>
                <w:sz w:val="24"/>
                <w:szCs w:val="24"/>
              </w:rPr>
            </w:pPr>
            <w:r>
              <w:rPr>
                <w:color w:val="000000"/>
                <w:sz w:val="24"/>
                <w:szCs w:val="24"/>
              </w:rPr>
              <w:t>107,7</w:t>
            </w:r>
          </w:p>
        </w:tc>
      </w:tr>
      <w:tr w:rsidR="00DC1467">
        <w:trPr>
          <w:trHeight w:val="283"/>
        </w:trPr>
        <w:tc>
          <w:tcPr>
            <w:tcW w:w="4815" w:type="dxa"/>
            <w:tcBorders>
              <w:top w:val="none" w:sz="4" w:space="0" w:color="000000"/>
              <w:left w:val="singl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left"/>
              <w:rPr>
                <w:color w:val="000000"/>
                <w:sz w:val="24"/>
                <w:szCs w:val="24"/>
              </w:rPr>
            </w:pPr>
            <w:r>
              <w:rPr>
                <w:color w:val="000000"/>
                <w:sz w:val="24"/>
                <w:szCs w:val="24"/>
              </w:rPr>
              <w:t xml:space="preserve">Среднемесячная номинальная начисленная заработная плата одного работника, рублей в месяц </w:t>
            </w:r>
          </w:p>
        </w:tc>
        <w:tc>
          <w:tcPr>
            <w:tcW w:w="1559" w:type="dxa"/>
            <w:tcBorders>
              <w:top w:val="non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color w:val="000000"/>
                <w:sz w:val="24"/>
                <w:szCs w:val="24"/>
              </w:rPr>
            </w:pPr>
            <w:r>
              <w:rPr>
                <w:color w:val="000000"/>
                <w:sz w:val="24"/>
                <w:szCs w:val="24"/>
              </w:rPr>
              <w:t>85 447,0</w:t>
            </w:r>
          </w:p>
        </w:tc>
        <w:tc>
          <w:tcPr>
            <w:tcW w:w="1559" w:type="dxa"/>
            <w:tcBorders>
              <w:top w:val="non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color w:val="000000"/>
                <w:sz w:val="24"/>
                <w:szCs w:val="24"/>
              </w:rPr>
            </w:pPr>
            <w:r>
              <w:rPr>
                <w:color w:val="000000"/>
                <w:sz w:val="24"/>
                <w:szCs w:val="24"/>
              </w:rPr>
              <w:t>97 562,0</w:t>
            </w:r>
          </w:p>
        </w:tc>
        <w:tc>
          <w:tcPr>
            <w:tcW w:w="1418" w:type="dxa"/>
            <w:tcBorders>
              <w:top w:val="non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color w:val="000000"/>
                <w:sz w:val="24"/>
                <w:szCs w:val="24"/>
              </w:rPr>
            </w:pPr>
            <w:r>
              <w:rPr>
                <w:color w:val="000000"/>
                <w:sz w:val="24"/>
                <w:szCs w:val="24"/>
              </w:rPr>
              <w:t>108 148,0</w:t>
            </w:r>
          </w:p>
        </w:tc>
      </w:tr>
      <w:tr w:rsidR="00DC1467">
        <w:trPr>
          <w:trHeight w:val="283"/>
        </w:trPr>
        <w:tc>
          <w:tcPr>
            <w:tcW w:w="4815" w:type="dxa"/>
            <w:tcBorders>
              <w:top w:val="none" w:sz="4" w:space="0" w:color="000000"/>
              <w:left w:val="singl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left"/>
              <w:rPr>
                <w:color w:val="000000"/>
                <w:sz w:val="24"/>
                <w:szCs w:val="24"/>
              </w:rPr>
            </w:pPr>
            <w:r>
              <w:rPr>
                <w:color w:val="000000"/>
                <w:sz w:val="24"/>
                <w:szCs w:val="24"/>
              </w:rPr>
              <w:t>Реальная заработная плата, в % к предыдущему году</w:t>
            </w:r>
          </w:p>
        </w:tc>
        <w:tc>
          <w:tcPr>
            <w:tcW w:w="1559" w:type="dxa"/>
            <w:tcBorders>
              <w:top w:val="non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color w:val="000000"/>
                <w:sz w:val="24"/>
                <w:szCs w:val="24"/>
              </w:rPr>
            </w:pPr>
            <w:r>
              <w:rPr>
                <w:color w:val="000000"/>
                <w:sz w:val="24"/>
                <w:szCs w:val="24"/>
              </w:rPr>
              <w:t>102,3</w:t>
            </w:r>
          </w:p>
        </w:tc>
        <w:tc>
          <w:tcPr>
            <w:tcW w:w="1559" w:type="dxa"/>
            <w:tcBorders>
              <w:top w:val="non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color w:val="000000"/>
                <w:sz w:val="24"/>
                <w:szCs w:val="24"/>
              </w:rPr>
            </w:pPr>
            <w:r>
              <w:rPr>
                <w:color w:val="000000"/>
                <w:sz w:val="24"/>
                <w:szCs w:val="24"/>
              </w:rPr>
              <w:t>105,2</w:t>
            </w:r>
          </w:p>
        </w:tc>
        <w:tc>
          <w:tcPr>
            <w:tcW w:w="1418" w:type="dxa"/>
            <w:tcBorders>
              <w:top w:val="non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color w:val="000000"/>
                <w:sz w:val="24"/>
                <w:szCs w:val="24"/>
              </w:rPr>
            </w:pPr>
            <w:r>
              <w:rPr>
                <w:color w:val="000000"/>
                <w:sz w:val="24"/>
                <w:szCs w:val="24"/>
              </w:rPr>
              <w:t>108,4</w:t>
            </w:r>
          </w:p>
        </w:tc>
      </w:tr>
      <w:tr w:rsidR="00DC1467">
        <w:trPr>
          <w:trHeight w:val="283"/>
        </w:trPr>
        <w:tc>
          <w:tcPr>
            <w:tcW w:w="4815" w:type="dxa"/>
            <w:tcBorders>
              <w:top w:val="none" w:sz="4" w:space="0" w:color="000000"/>
              <w:left w:val="singl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left"/>
              <w:rPr>
                <w:color w:val="000000"/>
                <w:sz w:val="24"/>
                <w:szCs w:val="24"/>
              </w:rPr>
            </w:pPr>
            <w:r>
              <w:rPr>
                <w:color w:val="000000"/>
                <w:sz w:val="24"/>
                <w:szCs w:val="24"/>
              </w:rPr>
              <w:t>Индекс физического объема оборота розничной торговли, в % к предыдущему году</w:t>
            </w:r>
          </w:p>
        </w:tc>
        <w:tc>
          <w:tcPr>
            <w:tcW w:w="1559" w:type="dxa"/>
            <w:tcBorders>
              <w:top w:val="non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color w:val="000000"/>
                <w:sz w:val="24"/>
                <w:szCs w:val="24"/>
              </w:rPr>
            </w:pPr>
            <w:r>
              <w:rPr>
                <w:color w:val="000000"/>
                <w:sz w:val="24"/>
                <w:szCs w:val="24"/>
              </w:rPr>
              <w:t>107,1</w:t>
            </w:r>
          </w:p>
        </w:tc>
        <w:tc>
          <w:tcPr>
            <w:tcW w:w="1559" w:type="dxa"/>
            <w:tcBorders>
              <w:top w:val="non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color w:val="000000"/>
                <w:sz w:val="24"/>
                <w:szCs w:val="24"/>
              </w:rPr>
            </w:pPr>
            <w:r>
              <w:rPr>
                <w:color w:val="000000"/>
                <w:sz w:val="24"/>
                <w:szCs w:val="24"/>
              </w:rPr>
              <w:t>94,7</w:t>
            </w:r>
          </w:p>
        </w:tc>
        <w:tc>
          <w:tcPr>
            <w:tcW w:w="1418" w:type="dxa"/>
            <w:tcBorders>
              <w:top w:val="non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color w:val="000000"/>
                <w:sz w:val="24"/>
                <w:szCs w:val="24"/>
              </w:rPr>
            </w:pPr>
            <w:r>
              <w:rPr>
                <w:color w:val="000000"/>
                <w:sz w:val="24"/>
                <w:szCs w:val="24"/>
              </w:rPr>
              <w:t>109,4</w:t>
            </w:r>
          </w:p>
        </w:tc>
      </w:tr>
      <w:tr w:rsidR="00DC1467">
        <w:trPr>
          <w:trHeight w:val="283"/>
        </w:trPr>
        <w:tc>
          <w:tcPr>
            <w:tcW w:w="4815" w:type="dxa"/>
            <w:tcBorders>
              <w:top w:val="none" w:sz="4" w:space="0" w:color="000000"/>
              <w:left w:val="singl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left"/>
              <w:rPr>
                <w:color w:val="000000"/>
                <w:sz w:val="24"/>
                <w:szCs w:val="24"/>
              </w:rPr>
            </w:pPr>
            <w:r>
              <w:rPr>
                <w:color w:val="000000"/>
                <w:sz w:val="24"/>
                <w:szCs w:val="24"/>
              </w:rPr>
              <w:t>Индекс физического объема платных услуг населению, в % к предыдущему году</w:t>
            </w:r>
          </w:p>
        </w:tc>
        <w:tc>
          <w:tcPr>
            <w:tcW w:w="1559" w:type="dxa"/>
            <w:tcBorders>
              <w:top w:val="non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color w:val="000000"/>
                <w:sz w:val="24"/>
                <w:szCs w:val="24"/>
              </w:rPr>
            </w:pPr>
            <w:r>
              <w:rPr>
                <w:color w:val="000000"/>
                <w:sz w:val="24"/>
                <w:szCs w:val="24"/>
              </w:rPr>
              <w:t>119,2</w:t>
            </w:r>
          </w:p>
        </w:tc>
        <w:tc>
          <w:tcPr>
            <w:tcW w:w="1559" w:type="dxa"/>
            <w:tcBorders>
              <w:top w:val="non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color w:val="000000"/>
                <w:sz w:val="24"/>
                <w:szCs w:val="24"/>
              </w:rPr>
            </w:pPr>
            <w:r>
              <w:rPr>
                <w:color w:val="000000"/>
                <w:sz w:val="24"/>
                <w:szCs w:val="24"/>
              </w:rPr>
              <w:t>103,9</w:t>
            </w:r>
          </w:p>
        </w:tc>
        <w:tc>
          <w:tcPr>
            <w:tcW w:w="1418" w:type="dxa"/>
            <w:tcBorders>
              <w:top w:val="non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color w:val="000000"/>
                <w:sz w:val="24"/>
                <w:szCs w:val="24"/>
              </w:rPr>
            </w:pPr>
            <w:r>
              <w:rPr>
                <w:color w:val="000000"/>
                <w:sz w:val="24"/>
                <w:szCs w:val="24"/>
              </w:rPr>
              <w:t>104,3</w:t>
            </w:r>
          </w:p>
        </w:tc>
      </w:tr>
      <w:tr w:rsidR="00DC1467">
        <w:trPr>
          <w:trHeight w:val="283"/>
        </w:trPr>
        <w:tc>
          <w:tcPr>
            <w:tcW w:w="4815" w:type="dxa"/>
            <w:tcBorders>
              <w:top w:val="none" w:sz="4" w:space="0" w:color="000000"/>
              <w:left w:val="singl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left"/>
              <w:rPr>
                <w:color w:val="000000"/>
                <w:sz w:val="24"/>
                <w:szCs w:val="24"/>
              </w:rPr>
            </w:pPr>
            <w:r>
              <w:rPr>
                <w:color w:val="000000"/>
                <w:sz w:val="24"/>
                <w:szCs w:val="24"/>
              </w:rPr>
              <w:t>Индекс потребительских цен и тарифов на конец периода, в % к предыдущему году</w:t>
            </w:r>
          </w:p>
        </w:tc>
        <w:tc>
          <w:tcPr>
            <w:tcW w:w="1559" w:type="dxa"/>
            <w:tcBorders>
              <w:top w:val="non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color w:val="000000"/>
                <w:sz w:val="24"/>
                <w:szCs w:val="24"/>
              </w:rPr>
            </w:pPr>
            <w:r>
              <w:rPr>
                <w:color w:val="000000"/>
                <w:sz w:val="24"/>
                <w:szCs w:val="24"/>
              </w:rPr>
              <w:t>105,5</w:t>
            </w:r>
          </w:p>
        </w:tc>
        <w:tc>
          <w:tcPr>
            <w:tcW w:w="1559" w:type="dxa"/>
            <w:tcBorders>
              <w:top w:val="non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color w:val="000000"/>
                <w:sz w:val="24"/>
                <w:szCs w:val="24"/>
              </w:rPr>
            </w:pPr>
            <w:r>
              <w:rPr>
                <w:color w:val="000000"/>
                <w:sz w:val="24"/>
                <w:szCs w:val="24"/>
              </w:rPr>
              <w:t>107,1</w:t>
            </w:r>
          </w:p>
        </w:tc>
        <w:tc>
          <w:tcPr>
            <w:tcW w:w="1418" w:type="dxa"/>
            <w:tcBorders>
              <w:top w:val="non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color w:val="000000"/>
                <w:sz w:val="24"/>
                <w:szCs w:val="24"/>
              </w:rPr>
            </w:pPr>
            <w:r>
              <w:rPr>
                <w:color w:val="000000"/>
                <w:sz w:val="24"/>
                <w:szCs w:val="24"/>
              </w:rPr>
              <w:t>104,6</w:t>
            </w:r>
          </w:p>
        </w:tc>
      </w:tr>
      <w:tr w:rsidR="00DC1467">
        <w:trPr>
          <w:trHeight w:val="283"/>
        </w:trPr>
        <w:tc>
          <w:tcPr>
            <w:tcW w:w="4815" w:type="dxa"/>
            <w:tcBorders>
              <w:top w:val="none" w:sz="4" w:space="0" w:color="000000"/>
              <w:left w:val="singl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left"/>
              <w:rPr>
                <w:color w:val="000000"/>
                <w:sz w:val="24"/>
                <w:szCs w:val="24"/>
              </w:rPr>
            </w:pPr>
            <w:r>
              <w:rPr>
                <w:color w:val="000000"/>
                <w:sz w:val="24"/>
                <w:szCs w:val="24"/>
              </w:rPr>
              <w:t>Поступление налогов и сборов и иных обязательных платежей с территории Югры в консолидированный бюджет Российской Федерации, млрд рублей</w:t>
            </w:r>
          </w:p>
        </w:tc>
        <w:tc>
          <w:tcPr>
            <w:tcW w:w="1559" w:type="dxa"/>
            <w:tcBorders>
              <w:top w:val="non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color w:val="000000"/>
                <w:sz w:val="24"/>
                <w:szCs w:val="24"/>
              </w:rPr>
            </w:pPr>
            <w:r>
              <w:rPr>
                <w:color w:val="000000"/>
                <w:sz w:val="24"/>
                <w:szCs w:val="24"/>
              </w:rPr>
              <w:t>4 096,7</w:t>
            </w:r>
          </w:p>
        </w:tc>
        <w:tc>
          <w:tcPr>
            <w:tcW w:w="1559" w:type="dxa"/>
            <w:tcBorders>
              <w:top w:val="non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color w:val="000000"/>
                <w:sz w:val="24"/>
                <w:szCs w:val="24"/>
              </w:rPr>
            </w:pPr>
            <w:r>
              <w:rPr>
                <w:color w:val="000000"/>
                <w:sz w:val="24"/>
                <w:szCs w:val="24"/>
              </w:rPr>
              <w:t>4 628,3</w:t>
            </w:r>
          </w:p>
        </w:tc>
        <w:tc>
          <w:tcPr>
            <w:tcW w:w="1418" w:type="dxa"/>
            <w:tcBorders>
              <w:top w:val="non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color w:val="000000"/>
                <w:sz w:val="24"/>
                <w:szCs w:val="24"/>
              </w:rPr>
            </w:pPr>
            <w:r>
              <w:rPr>
                <w:color w:val="000000"/>
                <w:sz w:val="24"/>
                <w:szCs w:val="24"/>
              </w:rPr>
              <w:t>3 904,</w:t>
            </w:r>
            <w:r>
              <w:rPr>
                <w:color w:val="000000"/>
                <w:sz w:val="24"/>
                <w:szCs w:val="24"/>
              </w:rPr>
              <w:t>8</w:t>
            </w:r>
          </w:p>
        </w:tc>
      </w:tr>
      <w:tr w:rsidR="00DC1467">
        <w:trPr>
          <w:trHeight w:val="283"/>
        </w:trPr>
        <w:tc>
          <w:tcPr>
            <w:tcW w:w="4815" w:type="dxa"/>
            <w:tcBorders>
              <w:top w:val="none" w:sz="4" w:space="0" w:color="000000"/>
              <w:left w:val="singl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left"/>
              <w:rPr>
                <w:color w:val="000000"/>
                <w:sz w:val="24"/>
                <w:szCs w:val="24"/>
              </w:rPr>
            </w:pPr>
            <w:r>
              <w:rPr>
                <w:color w:val="000000"/>
                <w:sz w:val="24"/>
                <w:szCs w:val="24"/>
              </w:rPr>
              <w:t>Уровень зарегистрированной безработицы к экономически активному населению (на конец периода), в % к предыдущему году</w:t>
            </w:r>
          </w:p>
        </w:tc>
        <w:tc>
          <w:tcPr>
            <w:tcW w:w="1559" w:type="dxa"/>
            <w:tcBorders>
              <w:top w:val="non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color w:val="000000"/>
                <w:sz w:val="24"/>
                <w:szCs w:val="24"/>
              </w:rPr>
            </w:pPr>
            <w:r>
              <w:rPr>
                <w:color w:val="000000"/>
                <w:sz w:val="24"/>
                <w:szCs w:val="24"/>
              </w:rPr>
              <w:t>0,5</w:t>
            </w:r>
          </w:p>
        </w:tc>
        <w:tc>
          <w:tcPr>
            <w:tcW w:w="1559" w:type="dxa"/>
            <w:tcBorders>
              <w:top w:val="non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color w:val="000000"/>
                <w:sz w:val="24"/>
                <w:szCs w:val="24"/>
              </w:rPr>
            </w:pPr>
            <w:r>
              <w:rPr>
                <w:color w:val="000000"/>
                <w:sz w:val="24"/>
                <w:szCs w:val="24"/>
              </w:rPr>
              <w:t>0,4</w:t>
            </w:r>
          </w:p>
        </w:tc>
        <w:tc>
          <w:tcPr>
            <w:tcW w:w="1418" w:type="dxa"/>
            <w:tcBorders>
              <w:top w:val="none" w:sz="4" w:space="0" w:color="000000"/>
              <w:left w:val="none" w:sz="4" w:space="0" w:color="000000"/>
              <w:bottom w:val="single" w:sz="4" w:space="0" w:color="000000"/>
              <w:right w:val="single" w:sz="4" w:space="0" w:color="000000"/>
            </w:tcBorders>
            <w:shd w:val="clear" w:color="FFFFFF" w:fill="FFFFFF"/>
            <w:vAlign w:val="center"/>
          </w:tcPr>
          <w:p w:rsidR="00DC1467" w:rsidRDefault="00B70D3E">
            <w:pPr>
              <w:spacing w:line="240" w:lineRule="auto"/>
              <w:ind w:firstLine="0"/>
              <w:jc w:val="center"/>
              <w:rPr>
                <w:color w:val="000000"/>
                <w:sz w:val="24"/>
                <w:szCs w:val="24"/>
              </w:rPr>
            </w:pPr>
            <w:r>
              <w:rPr>
                <w:color w:val="000000"/>
                <w:sz w:val="24"/>
                <w:szCs w:val="24"/>
              </w:rPr>
              <w:t>0,3</w:t>
            </w:r>
          </w:p>
        </w:tc>
      </w:tr>
    </w:tbl>
    <w:p w:rsidR="00DC1467" w:rsidRDefault="00DC14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0"/>
        <w:outlineLvl w:val="1"/>
        <w:rPr>
          <w:b/>
          <w:highlight w:val="yellow"/>
        </w:rPr>
      </w:pPr>
    </w:p>
    <w:p w:rsidR="00DC1467" w:rsidRDefault="00B70D3E">
      <w:pPr>
        <w:pStyle w:val="af3"/>
        <w:shd w:val="clear" w:color="FFFFFF" w:themeColor="background1" w:fill="FFFFFF" w:themeFill="background1"/>
        <w:spacing w:after="0" w:line="276" w:lineRule="auto"/>
        <w:ind w:firstLine="709"/>
        <w:contextualSpacing/>
        <w:jc w:val="both"/>
        <w:rPr>
          <w:sz w:val="28"/>
          <w:szCs w:val="28"/>
          <w:highlight w:val="white"/>
        </w:rPr>
      </w:pPr>
      <w:r>
        <w:rPr>
          <w:b/>
          <w:i/>
          <w:sz w:val="28"/>
          <w:szCs w:val="28"/>
          <w:highlight w:val="white"/>
        </w:rPr>
        <w:t>Хозяйствующие субъекты</w:t>
      </w:r>
      <w:r>
        <w:rPr>
          <w:b/>
          <w:sz w:val="28"/>
          <w:szCs w:val="28"/>
          <w:highlight w:val="white"/>
        </w:rPr>
        <w:t>.</w:t>
      </w:r>
      <w:r>
        <w:rPr>
          <w:sz w:val="28"/>
          <w:szCs w:val="28"/>
          <w:highlight w:val="white"/>
        </w:rPr>
        <w:t xml:space="preserve"> На начало 2024 года в автономном округе учтено 28,1 тыс. юридических лиц. Большинство организаций относилось к видам деятельности: оптовая и розничная торговля, ремонт автотранспортных средств и мотоциклов (19,1 %), строительство (13,5 %), транспортировка</w:t>
      </w:r>
      <w:r>
        <w:rPr>
          <w:sz w:val="28"/>
          <w:szCs w:val="28"/>
          <w:highlight w:val="white"/>
        </w:rPr>
        <w:t xml:space="preserve"> и хранение (10,6 %), деятельность профессиональная, научная и техническая (7,4 %), деятельность по операциям с недвижимым имуществом (7,3 %). Основная часть (85,6 %) учтенных юридических лиц имели частную форму собственности. </w:t>
      </w:r>
    </w:p>
    <w:p w:rsidR="00DC1467" w:rsidRDefault="00B70D3E">
      <w:pPr>
        <w:pStyle w:val="af3"/>
        <w:shd w:val="clear" w:color="FFFFFF" w:themeColor="background1" w:fill="FFFFFF" w:themeFill="background1"/>
        <w:spacing w:after="0" w:line="276" w:lineRule="auto"/>
        <w:ind w:firstLine="709"/>
        <w:contextualSpacing/>
        <w:jc w:val="both"/>
        <w:rPr>
          <w:sz w:val="28"/>
          <w:szCs w:val="28"/>
          <w:highlight w:val="white"/>
        </w:rPr>
      </w:pPr>
      <w:r>
        <w:rPr>
          <w:sz w:val="28"/>
          <w:szCs w:val="28"/>
          <w:highlight w:val="white"/>
        </w:rPr>
        <w:t>Финансово-хозяйственная деят</w:t>
      </w:r>
      <w:r>
        <w:rPr>
          <w:sz w:val="28"/>
          <w:szCs w:val="28"/>
          <w:highlight w:val="white"/>
        </w:rPr>
        <w:t xml:space="preserve">ельность организаций по данным бухгалтерской (финансовой) отчетности за 2023 год характеризовалась положительным сальдированным результатом в размере 2535,8 млрд рублей (за 2022 год – 84,3 млрд). </w:t>
      </w:r>
    </w:p>
    <w:p w:rsidR="00DC1467" w:rsidRDefault="00B70D3E">
      <w:pPr>
        <w:pStyle w:val="af3"/>
        <w:shd w:val="clear" w:color="FFFFFF" w:themeColor="background1" w:fill="FFFFFF" w:themeFill="background1"/>
        <w:spacing w:after="0" w:line="276" w:lineRule="auto"/>
        <w:ind w:firstLine="709"/>
        <w:contextualSpacing/>
        <w:jc w:val="both"/>
        <w:rPr>
          <w:sz w:val="28"/>
          <w:szCs w:val="28"/>
          <w:highlight w:val="white"/>
        </w:rPr>
      </w:pPr>
      <w:r>
        <w:rPr>
          <w:sz w:val="28"/>
          <w:szCs w:val="28"/>
          <w:highlight w:val="white"/>
        </w:rPr>
        <w:t>Доля прибыльных организаций составила 81,2 % от общего коли</w:t>
      </w:r>
      <w:r>
        <w:rPr>
          <w:sz w:val="28"/>
          <w:szCs w:val="28"/>
          <w:highlight w:val="white"/>
        </w:rPr>
        <w:t>чества с общей суммой прибыли 2646,0 млрд рублей (в 2022 году – соответственно 80,9 % и 672,8 млрд рублей). На долю убыточных организаций пришлось 18,8 % с общей суммой убытка 110,1 млрд рублей (в 2022 году – соответственно 19,1 % и 588,6 млрд рублей)</w:t>
      </w:r>
      <w:r>
        <w:rPr>
          <w:rStyle w:val="af1"/>
          <w:sz w:val="28"/>
          <w:szCs w:val="28"/>
          <w:highlight w:val="white"/>
        </w:rPr>
        <w:footnoteReference w:id="2"/>
      </w:r>
      <w:r>
        <w:rPr>
          <w:sz w:val="28"/>
          <w:szCs w:val="28"/>
          <w:highlight w:val="white"/>
        </w:rPr>
        <w:t>.</w:t>
      </w:r>
    </w:p>
    <w:p w:rsidR="00DC1467" w:rsidRDefault="00B70D3E">
      <w:pPr>
        <w:shd w:val="clear" w:color="FFFFFF" w:themeColor="background1" w:fill="FFFFFF" w:themeFill="background1"/>
        <w:spacing w:line="276" w:lineRule="auto"/>
        <w:ind w:firstLine="709"/>
        <w:rPr>
          <w:highlight w:val="white"/>
        </w:rPr>
      </w:pPr>
      <w:r>
        <w:rPr>
          <w:b/>
          <w:i/>
          <w:highlight w:val="white"/>
        </w:rPr>
        <w:t>Инвестиции</w:t>
      </w:r>
      <w:r>
        <w:rPr>
          <w:b/>
          <w:highlight w:val="white"/>
        </w:rPr>
        <w:t>.</w:t>
      </w:r>
      <w:r>
        <w:rPr>
          <w:highlight w:val="white"/>
        </w:rPr>
        <w:t xml:space="preserve"> За 2023 год в экономику и социальную сферу организациями (без субъектов малого предпринимательства и объема инвестиций, не наблюдаемых прямыми статистическими методами) вложено 1482,9 млрд рублей инвестиций в основной капитал, в расчете на душу</w:t>
      </w:r>
      <w:r>
        <w:rPr>
          <w:highlight w:val="white"/>
        </w:rPr>
        <w:t xml:space="preserve"> населения значение показателя составило 849,8 тыс. рублей.</w:t>
      </w:r>
    </w:p>
    <w:p w:rsidR="00DC1467" w:rsidRDefault="00B70D3E">
      <w:pPr>
        <w:shd w:val="clear" w:color="FFFFFF" w:themeColor="background1" w:fill="FFFFFF" w:themeFill="background1"/>
        <w:spacing w:line="276" w:lineRule="auto"/>
        <w:ind w:firstLine="709"/>
        <w:contextualSpacing/>
        <w:rPr>
          <w:bCs/>
          <w:iCs/>
          <w:highlight w:val="white"/>
        </w:rPr>
      </w:pPr>
      <w:r>
        <w:rPr>
          <w:highlight w:val="white"/>
        </w:rPr>
        <w:t>С</w:t>
      </w:r>
      <w:r>
        <w:rPr>
          <w:bCs/>
          <w:iCs/>
          <w:highlight w:val="white"/>
        </w:rPr>
        <w:t>обственные средства организаций</w:t>
      </w:r>
      <w:r>
        <w:rPr>
          <w:highlight w:val="white"/>
        </w:rPr>
        <w:t xml:space="preserve"> </w:t>
      </w:r>
      <w:r>
        <w:rPr>
          <w:bCs/>
          <w:iCs/>
          <w:highlight w:val="white"/>
        </w:rPr>
        <w:t>(без субъектов малого предпринимательства и объема инвестиций, не наблюдаемых прямыми статистическими методами) составили 87,1 % (в 2022 году – 88,0 %) от их общег</w:t>
      </w:r>
      <w:r>
        <w:rPr>
          <w:bCs/>
          <w:iCs/>
          <w:highlight w:val="white"/>
        </w:rPr>
        <w:t xml:space="preserve">о объема. За счет привлеченных средств осуществлялось 12,9 % инвестиций (против 12,0 % в 2022 году), на долю средств бюджетов всех уровней приходилось 3,8 % (3,0 %). </w:t>
      </w:r>
    </w:p>
    <w:p w:rsidR="00DC1467" w:rsidRDefault="00B70D3E">
      <w:pPr>
        <w:shd w:val="clear" w:color="FFFFFF" w:themeColor="background1" w:fill="FFFFFF" w:themeFill="background1"/>
        <w:spacing w:line="276" w:lineRule="auto"/>
        <w:ind w:firstLine="709"/>
        <w:rPr>
          <w:highlight w:val="white"/>
        </w:rPr>
      </w:pPr>
      <w:r>
        <w:rPr>
          <w:highlight w:val="white"/>
        </w:rPr>
        <w:t>Наибольшая инвестиционная активность отмечена в организациях добычи полезных ископаемых (</w:t>
      </w:r>
      <w:r>
        <w:rPr>
          <w:highlight w:val="white"/>
        </w:rPr>
        <w:t xml:space="preserve">85,6 % от общего объема инвестиций). </w:t>
      </w:r>
    </w:p>
    <w:p w:rsidR="00DC1467" w:rsidRDefault="00B70D3E">
      <w:pPr>
        <w:shd w:val="clear" w:color="FFFFFF" w:themeColor="background1" w:fill="FFFFFF" w:themeFill="background1"/>
        <w:spacing w:line="276" w:lineRule="auto"/>
        <w:ind w:firstLine="709"/>
        <w:contextualSpacing/>
        <w:rPr>
          <w:highlight w:val="white"/>
        </w:rPr>
      </w:pPr>
      <w:r>
        <w:rPr>
          <w:highlight w:val="white"/>
        </w:rPr>
        <w:t xml:space="preserve">Общий объем финансовых вложений организаций (без субъектов малого предпринимательства, кредитных организаций, государственных (муниципальных) учреждений, некредитных финансовых организаций) оценивался в размере 8230,8 </w:t>
      </w:r>
      <w:r>
        <w:rPr>
          <w:highlight w:val="white"/>
        </w:rPr>
        <w:t xml:space="preserve">млрд рублей (в 2022 году – 6527,3 млрд). </w:t>
      </w:r>
      <w:r>
        <w:rPr>
          <w:highlight w:val="white"/>
        </w:rPr>
        <w:lastRenderedPageBreak/>
        <w:t>Долгосрочные финансовые вложения составили 2446,4 млрд рублей (29,7 % от общего объема), краткосрочные – 5784,4 млрд (70,3 %)</w:t>
      </w:r>
      <w:r>
        <w:rPr>
          <w:rStyle w:val="af1"/>
          <w:highlight w:val="white"/>
        </w:rPr>
        <w:footnoteReference w:id="3"/>
      </w:r>
      <w:r>
        <w:rPr>
          <w:highlight w:val="white"/>
        </w:rPr>
        <w:t xml:space="preserve">. </w:t>
      </w:r>
    </w:p>
    <w:p w:rsidR="00DC1467" w:rsidRDefault="00B70D3E">
      <w:pPr>
        <w:shd w:val="clear" w:color="FFFFFF" w:themeColor="background1" w:fill="FFFFFF" w:themeFill="background1"/>
        <w:spacing w:line="276" w:lineRule="auto"/>
        <w:ind w:firstLine="709"/>
        <w:contextualSpacing/>
        <w:rPr>
          <w:highlight w:val="white"/>
        </w:rPr>
      </w:pPr>
      <w:r>
        <w:rPr>
          <w:highlight w:val="white"/>
        </w:rPr>
        <w:t>За январ</w:t>
      </w:r>
      <w:r>
        <w:rPr>
          <w:highlight w:val="white"/>
        </w:rPr>
        <w:t>ь-сентябрь 2024 года зафиксированы следующие показатели инвестиционной деятельности. Объем инвестиций в основной капитал составил 1 221,6 млрд рублей против 1 089,2 в аналогичном периоде 2023 года, что позволило региону сохранить второе место по этому пока</w:t>
      </w:r>
      <w:r>
        <w:rPr>
          <w:highlight w:val="white"/>
        </w:rPr>
        <w:t>зателю среди субъектов Российской Федерации в 2023 и 2024 годах. Инвестиции на душу населения автономного округа составили 700,1 тыс. рублей против 624,2 – за аналогичный период 2023 года (по РФ в целом 163,9 тыс. рублей и 138,7 тыс. рублей соответственно)</w:t>
      </w:r>
      <w:r>
        <w:rPr>
          <w:rStyle w:val="af1"/>
          <w:highlight w:val="white"/>
        </w:rPr>
        <w:footnoteReference w:id="4"/>
      </w:r>
      <w:r>
        <w:rPr>
          <w:highlight w:val="white"/>
        </w:rPr>
        <w:t>.</w:t>
      </w:r>
    </w:p>
    <w:p w:rsidR="00DC1467" w:rsidRDefault="00B70D3E">
      <w:pPr>
        <w:shd w:val="clear" w:color="FFFFFF" w:themeColor="background1" w:fill="FFFFFF" w:themeFill="background1"/>
        <w:spacing w:line="276" w:lineRule="auto"/>
        <w:ind w:firstLine="709"/>
        <w:contextualSpacing/>
        <w:rPr>
          <w:highlight w:val="white"/>
        </w:rPr>
      </w:pPr>
      <w:r>
        <w:rPr>
          <w:b/>
          <w:i/>
          <w:highlight w:val="white"/>
        </w:rPr>
        <w:t>Промышленное производство</w:t>
      </w:r>
      <w:r>
        <w:rPr>
          <w:b/>
          <w:highlight w:val="white"/>
        </w:rPr>
        <w:t>.</w:t>
      </w:r>
      <w:r>
        <w:rPr>
          <w:highlight w:val="white"/>
        </w:rPr>
        <w:t xml:space="preserve"> Индекс промышленного производства в 2023 году составил в среднем 98,5 % (в добыче полезных ископаемых – 97,5 %, в обрабатывающем секторе – 103,0 %, в обеспечении электрической энергией, газом и паром, кондиционировании воздуха</w:t>
      </w:r>
      <w:r>
        <w:rPr>
          <w:highlight w:val="white"/>
        </w:rPr>
        <w:t xml:space="preserve"> – 98,8 %, водоснабжении; водоотведении, организации сбора и утилизации отходов, деятельности по ликвидации загрязнений – 104,7 %).</w:t>
      </w:r>
    </w:p>
    <w:p w:rsidR="00DC1467" w:rsidRDefault="00B70D3E">
      <w:pPr>
        <w:shd w:val="clear" w:color="FFFFFF" w:themeColor="background1" w:fill="FFFFFF" w:themeFill="background1"/>
        <w:spacing w:line="276" w:lineRule="auto"/>
        <w:ind w:firstLine="709"/>
        <w:contextualSpacing/>
        <w:rPr>
          <w:b/>
          <w:i/>
          <w:highlight w:val="white"/>
        </w:rPr>
      </w:pPr>
      <w:r>
        <w:rPr>
          <w:highlight w:val="white"/>
        </w:rPr>
        <w:t>Индекс цен производителей промышленных товаров, реализованных на внутреннем рынке, в декабре 2023 года к декабрю предыдущего</w:t>
      </w:r>
      <w:r>
        <w:rPr>
          <w:highlight w:val="white"/>
        </w:rPr>
        <w:t xml:space="preserve"> года сложился на уровне 147,4 % (</w:t>
      </w:r>
      <w:r>
        <w:rPr>
          <w:iCs/>
          <w:highlight w:val="white"/>
        </w:rPr>
        <w:t xml:space="preserve">в добыче полезных ископаемых – 148,5 %, обрабатывающих производствах – 159,4 %, </w:t>
      </w:r>
      <w:r>
        <w:rPr>
          <w:highlight w:val="white"/>
        </w:rPr>
        <w:t>обеспечении электрической энергией, газом и паром, кондиционировании воздуха – 110,9 %, водоснабжении; водоотведении, организации сбора и утил</w:t>
      </w:r>
      <w:r>
        <w:rPr>
          <w:highlight w:val="white"/>
        </w:rPr>
        <w:t>изации отходов, деятельности по ликвидации загрязнений – 100,4 %)</w:t>
      </w:r>
      <w:r>
        <w:rPr>
          <w:rStyle w:val="af1"/>
          <w:highlight w:val="white"/>
        </w:rPr>
        <w:footnoteReference w:id="5"/>
      </w:r>
      <w:r>
        <w:rPr>
          <w:highlight w:val="white"/>
        </w:rPr>
        <w:t>.</w:t>
      </w:r>
    </w:p>
    <w:p w:rsidR="00DC1467" w:rsidRDefault="00B70D3E">
      <w:pPr>
        <w:shd w:val="clear" w:color="FFFFFF" w:themeColor="background1" w:fill="FFFFFF" w:themeFill="background1"/>
        <w:spacing w:line="276" w:lineRule="auto"/>
        <w:ind w:firstLine="709"/>
        <w:rPr>
          <w:highlight w:val="white"/>
        </w:rPr>
      </w:pPr>
      <w:r>
        <w:rPr>
          <w:highlight w:val="white"/>
        </w:rPr>
        <w:t>В январе-ноябре 2024 года индекс промышленного производства в Ханты-Мансийском автономном округе – Югре составил 96,3 % к соответствующему периоду 2023 года</w:t>
      </w:r>
      <w:r>
        <w:rPr>
          <w:rStyle w:val="af1"/>
          <w:highlight w:val="white"/>
        </w:rPr>
        <w:footnoteReference w:id="6"/>
      </w:r>
      <w:r>
        <w:rPr>
          <w:highlight w:val="white"/>
        </w:rPr>
        <w:t>.</w:t>
      </w:r>
    </w:p>
    <w:p w:rsidR="00DC1467" w:rsidRDefault="00B70D3E">
      <w:pPr>
        <w:shd w:val="clear" w:color="FFFFFF" w:themeColor="background1" w:fill="FFFFFF" w:themeFill="background1"/>
        <w:spacing w:line="276" w:lineRule="auto"/>
        <w:ind w:firstLine="709"/>
        <w:rPr>
          <w:highlight w:val="white"/>
        </w:rPr>
      </w:pPr>
      <w:r>
        <w:rPr>
          <w:highlight w:val="white"/>
        </w:rPr>
        <w:t>За первые 3 квартала 2024 год</w:t>
      </w:r>
      <w:r>
        <w:rPr>
          <w:highlight w:val="white"/>
        </w:rPr>
        <w:t>а объем отгруженных товаров обрабатывающих производств составил 815,0 млрд рублей (индекс производства 115,2 % к соответствующему периоду 2023 года). Отмечается существенный рост промышленного производства к январю – сентябрю 2023 года по следующим видам э</w:t>
      </w:r>
      <w:r>
        <w:rPr>
          <w:highlight w:val="white"/>
        </w:rPr>
        <w:t xml:space="preserve">кономической деятельности: производство </w:t>
      </w:r>
      <w:r>
        <w:rPr>
          <w:highlight w:val="white"/>
        </w:rPr>
        <w:lastRenderedPageBreak/>
        <w:t>мебели (в 8,2 раза); производство одежды (в 3,7 раза); производство текстильных изделий (в 2,6 раза); производство бумаги и бумажных изделий (188,0 %); производство химических веществ и химических продуктов (131,8 %)</w:t>
      </w:r>
      <w:r>
        <w:rPr>
          <w:highlight w:val="white"/>
        </w:rPr>
        <w:t>; производство автотранспортных средств, прицепов и полуприцепов (130,7 %); производство резиновых и пластмассовых изделий (124,2 %); деятельность полиграфическая и копирование носителей информации (119,5 %); производство пищевых продуктов (119,4 %)</w:t>
      </w:r>
      <w:r>
        <w:rPr>
          <w:rStyle w:val="af1"/>
          <w:highlight w:val="white"/>
        </w:rPr>
        <w:footnoteReference w:id="7"/>
      </w:r>
      <w:r>
        <w:rPr>
          <w:highlight w:val="white"/>
        </w:rPr>
        <w:t>.</w:t>
      </w:r>
    </w:p>
    <w:p w:rsidR="00DC1467" w:rsidRDefault="00B70D3E">
      <w:pPr>
        <w:shd w:val="clear" w:color="FFFFFF" w:themeColor="background1" w:fill="FFFFFF" w:themeFill="background1"/>
        <w:spacing w:line="276" w:lineRule="auto"/>
        <w:ind w:firstLine="709"/>
        <w:rPr>
          <w:color w:val="000000"/>
          <w:highlight w:val="white"/>
        </w:rPr>
      </w:pPr>
      <w:r>
        <w:rPr>
          <w:b/>
          <w:i/>
          <w:highlight w:val="white"/>
        </w:rPr>
        <w:t>Сель</w:t>
      </w:r>
      <w:r>
        <w:rPr>
          <w:b/>
          <w:i/>
          <w:highlight w:val="white"/>
        </w:rPr>
        <w:t>ское хозяйство</w:t>
      </w:r>
      <w:r>
        <w:rPr>
          <w:b/>
          <w:highlight w:val="white"/>
        </w:rPr>
        <w:t>.</w:t>
      </w:r>
      <w:r>
        <w:rPr>
          <w:highlight w:val="white"/>
        </w:rPr>
        <w:t xml:space="preserve"> </w:t>
      </w:r>
      <w:r>
        <w:rPr>
          <w:color w:val="000000"/>
          <w:highlight w:val="white"/>
        </w:rPr>
        <w:t>Индекс производства продукции сельского хозяйства в хозяйствах всех категорий в 2023 году составил 98,4 % к уровню предыдущего года (по сельскохозяйственным организациям – 101,7 %, хозяйствам населения – 99,9 %, крестьянским (фермерским) хо</w:t>
      </w:r>
      <w:r>
        <w:rPr>
          <w:color w:val="000000"/>
          <w:highlight w:val="white"/>
        </w:rPr>
        <w:t xml:space="preserve">зяйствам, индивидуальным предпринимателям – 90,0 %). Объем продукции растениеводства снизился на 0,1 %, животноводства – на 4,0 %. </w:t>
      </w:r>
    </w:p>
    <w:p w:rsidR="00DC1467" w:rsidRDefault="00B70D3E">
      <w:pPr>
        <w:shd w:val="clear" w:color="FFFFFF" w:themeColor="background1" w:fill="FFFFFF" w:themeFill="background1"/>
        <w:spacing w:line="276" w:lineRule="auto"/>
        <w:ind w:firstLine="709"/>
        <w:contextualSpacing/>
        <w:rPr>
          <w:highlight w:val="white"/>
        </w:rPr>
      </w:pPr>
      <w:r>
        <w:rPr>
          <w:highlight w:val="white"/>
        </w:rPr>
        <w:t xml:space="preserve">В расчете на душу населения производство картофеля составило 31 кг, овощей – 12 кг, молока – 13 кг, мяса (в убойном весе) – </w:t>
      </w:r>
      <w:r>
        <w:rPr>
          <w:highlight w:val="white"/>
        </w:rPr>
        <w:t xml:space="preserve">6 кг, яиц – 33 штуки. </w:t>
      </w:r>
    </w:p>
    <w:p w:rsidR="00DC1467" w:rsidRDefault="00B70D3E">
      <w:pPr>
        <w:shd w:val="clear" w:color="FFFFFF" w:themeColor="background1" w:fill="FFFFFF" w:themeFill="background1"/>
        <w:spacing w:line="276" w:lineRule="auto"/>
        <w:ind w:firstLine="709"/>
        <w:contextualSpacing/>
        <w:rPr>
          <w:highlight w:val="white"/>
        </w:rPr>
      </w:pPr>
      <w:r>
        <w:rPr>
          <w:highlight w:val="white"/>
        </w:rPr>
        <w:t>Индекс цен производителей сельскохозяйственной продукции, реализованной сельскохозяйственными организациями, в декабре 2023 года к декабрю предыдущего года составил 103,2 %</w:t>
      </w:r>
      <w:r>
        <w:rPr>
          <w:rStyle w:val="af1"/>
          <w:highlight w:val="white"/>
        </w:rPr>
        <w:footnoteReference w:id="8"/>
      </w:r>
      <w:r>
        <w:rPr>
          <w:highlight w:val="white"/>
        </w:rPr>
        <w:t xml:space="preserve">. </w:t>
      </w:r>
    </w:p>
    <w:p w:rsidR="00DC1467" w:rsidRDefault="00B70D3E">
      <w:pPr>
        <w:shd w:val="clear" w:color="FFFFFF" w:themeColor="background1" w:fill="FFFFFF" w:themeFill="background1"/>
        <w:spacing w:line="276" w:lineRule="auto"/>
        <w:ind w:firstLine="709"/>
        <w:contextualSpacing/>
        <w:rPr>
          <w:highlight w:val="white"/>
        </w:rPr>
      </w:pPr>
      <w:r>
        <w:rPr>
          <w:highlight w:val="white"/>
        </w:rPr>
        <w:t xml:space="preserve">В 2024 году в сфере производства и переработки продукции </w:t>
      </w:r>
      <w:r>
        <w:rPr>
          <w:highlight w:val="white"/>
        </w:rPr>
        <w:t xml:space="preserve">сельского хозяйства действовали 679 предприятий пищевой и перерабатывающей промышленности, в том числе 502 индивидуальных предпринимателя и 177 юридических лиц, с общей численностью работающих в них более 4 000 человек. </w:t>
      </w:r>
    </w:p>
    <w:p w:rsidR="00DC1467" w:rsidRDefault="00B70D3E">
      <w:pPr>
        <w:shd w:val="clear" w:color="FFFFFF" w:themeColor="background1" w:fill="FFFFFF" w:themeFill="background1"/>
        <w:spacing w:line="276" w:lineRule="auto"/>
        <w:ind w:firstLine="709"/>
        <w:contextualSpacing/>
        <w:rPr>
          <w:highlight w:val="white"/>
        </w:rPr>
      </w:pPr>
      <w:r>
        <w:rPr>
          <w:highlight w:val="white"/>
        </w:rPr>
        <w:t>В отрасли рыбного хозяйства деятель</w:t>
      </w:r>
      <w:r>
        <w:rPr>
          <w:highlight w:val="white"/>
        </w:rPr>
        <w:t>ность осуществляли 225 предприятий различных форм собственности, в том числе порядка 116 предприятий вели промышленное рыболовство на водных объектах общего пользования без предоставления рыболовных (рыбопромысловых) участков. По данным Нижнеобского террит</w:t>
      </w:r>
      <w:r>
        <w:rPr>
          <w:highlight w:val="white"/>
        </w:rPr>
        <w:t>ориального управления Росрыболовства, в январе-сентябре 2024 года промышленная добыча (вылов) водных биологических ресурсов составила 4,9 тыс. тонн, что составляет 88,9 % по отношению к аналогичному периоду 2023 года (январь-сентябрь 2023 года – 5,5 тыс. т</w:t>
      </w:r>
      <w:r>
        <w:rPr>
          <w:highlight w:val="white"/>
        </w:rPr>
        <w:t xml:space="preserve">онн). </w:t>
      </w:r>
    </w:p>
    <w:p w:rsidR="00DC1467" w:rsidRDefault="00B70D3E">
      <w:pPr>
        <w:shd w:val="clear" w:color="FFFFFF" w:themeColor="background1" w:fill="FFFFFF" w:themeFill="background1"/>
        <w:spacing w:line="276" w:lineRule="auto"/>
        <w:ind w:firstLine="709"/>
        <w:contextualSpacing/>
        <w:rPr>
          <w:highlight w:val="white"/>
        </w:rPr>
      </w:pPr>
      <w:r>
        <w:rPr>
          <w:highlight w:val="white"/>
        </w:rPr>
        <w:t xml:space="preserve">В сферах растениеводства, животноводства и рыбной отрасли предпринимательскую деятельность осуществляли 1 114 субъектов, из них </w:t>
      </w:r>
      <w:r>
        <w:rPr>
          <w:highlight w:val="white"/>
        </w:rPr>
        <w:lastRenderedPageBreak/>
        <w:t>387 индивидуальных предпринимателей, 725 юридических лиц, 72 субъекта малого и среднего предпринимательства вовлечены в д</w:t>
      </w:r>
      <w:r>
        <w:rPr>
          <w:highlight w:val="white"/>
        </w:rPr>
        <w:t>еятельность в январе-сентябре 2024 года</w:t>
      </w:r>
      <w:r>
        <w:rPr>
          <w:rStyle w:val="af1"/>
          <w:highlight w:val="white"/>
        </w:rPr>
        <w:footnoteReference w:id="9"/>
      </w:r>
      <w:r>
        <w:rPr>
          <w:highlight w:val="white"/>
        </w:rPr>
        <w:t>.</w:t>
      </w:r>
    </w:p>
    <w:p w:rsidR="00DC1467" w:rsidRDefault="00B70D3E">
      <w:pPr>
        <w:pStyle w:val="af3"/>
        <w:shd w:val="clear" w:color="FFFFFF" w:themeColor="background1" w:fill="FFFFFF" w:themeFill="background1"/>
        <w:spacing w:after="0" w:line="276" w:lineRule="auto"/>
        <w:ind w:firstLine="709"/>
        <w:contextualSpacing/>
        <w:jc w:val="both"/>
        <w:rPr>
          <w:sz w:val="28"/>
          <w:szCs w:val="28"/>
          <w:highlight w:val="white"/>
        </w:rPr>
      </w:pPr>
      <w:r>
        <w:rPr>
          <w:b/>
          <w:i/>
          <w:sz w:val="28"/>
          <w:szCs w:val="28"/>
          <w:highlight w:val="white"/>
        </w:rPr>
        <w:t>Строительство.</w:t>
      </w:r>
      <w:r>
        <w:rPr>
          <w:sz w:val="28"/>
          <w:szCs w:val="28"/>
          <w:highlight w:val="white"/>
        </w:rPr>
        <w:t xml:space="preserve"> В 2023 году строительными организациями выполнено работ собственными силами на сумму 477,5 млрд рублей (105,9 % к предыдущему году). За год введено в действие 4,5 тыс. зданий жилого (с учетом жилых д</w:t>
      </w:r>
      <w:r>
        <w:rPr>
          <w:sz w:val="28"/>
          <w:szCs w:val="28"/>
          <w:highlight w:val="white"/>
        </w:rPr>
        <w:t>омов, построенных на земельных участках, предназначенных для ведения гражданами садоводства) и нежилого назначения общей площадью 1399,2 тыс. кв. метров (97,8 % к уровню 2022 года).</w:t>
      </w:r>
    </w:p>
    <w:p w:rsidR="00DC1467" w:rsidRDefault="00B70D3E">
      <w:pPr>
        <w:shd w:val="clear" w:color="FFFFFF" w:themeColor="background1" w:fill="FFFFFF" w:themeFill="background1"/>
        <w:spacing w:line="276" w:lineRule="auto"/>
        <w:ind w:firstLine="709"/>
        <w:contextualSpacing/>
        <w:rPr>
          <w:highlight w:val="white"/>
        </w:rPr>
      </w:pPr>
      <w:r>
        <w:rPr>
          <w:highlight w:val="white"/>
        </w:rPr>
        <w:t>Организациями всех форм собственности и населением построено 13,9 тыс. ква</w:t>
      </w:r>
      <w:r>
        <w:rPr>
          <w:highlight w:val="white"/>
        </w:rPr>
        <w:t xml:space="preserve">ртир общей площадью жилых помещений 955,3 тыс. кв. метров. В расчете на 1000 населения ввод жилых домов составил 548 кв. метров. Ввод жилья населением за счет собственных и привлеченных средств (с учетом </w:t>
      </w:r>
      <w:r>
        <w:rPr>
          <w:rFonts w:eastAsia="Tahoma"/>
          <w:highlight w:val="white"/>
        </w:rPr>
        <w:t>жилых домов, построенных на земельных участках, пред</w:t>
      </w:r>
      <w:r>
        <w:rPr>
          <w:rFonts w:eastAsia="Tahoma"/>
          <w:highlight w:val="white"/>
        </w:rPr>
        <w:t>назначенных для ведения садоводства)</w:t>
      </w:r>
      <w:r>
        <w:rPr>
          <w:highlight w:val="white"/>
        </w:rPr>
        <w:t xml:space="preserve"> равнялся 408,1 тыс. кв. метров. Доля индивидуального домостроения в общем вводе жилых домов составила 42,7 %</w:t>
      </w:r>
      <w:r>
        <w:rPr>
          <w:rStyle w:val="af1"/>
          <w:highlight w:val="white"/>
        </w:rPr>
        <w:footnoteReference w:id="10"/>
      </w:r>
      <w:r>
        <w:rPr>
          <w:highlight w:val="white"/>
        </w:rPr>
        <w:t>.</w:t>
      </w:r>
    </w:p>
    <w:p w:rsidR="00DC1467" w:rsidRDefault="00B70D3E">
      <w:pPr>
        <w:shd w:val="clear" w:color="FFFFFF" w:themeColor="background1" w:fill="FFFFFF" w:themeFill="background1"/>
        <w:spacing w:line="276" w:lineRule="auto"/>
        <w:ind w:firstLine="709"/>
        <w:rPr>
          <w:highlight w:val="white"/>
        </w:rPr>
      </w:pPr>
      <w:r>
        <w:rPr>
          <w:highlight w:val="white"/>
        </w:rPr>
        <w:t>В январе-ноябре 2024 года организациями всех форм собственности и индивидуальными застройщиками введено в де</w:t>
      </w:r>
      <w:r>
        <w:rPr>
          <w:highlight w:val="white"/>
        </w:rPr>
        <w:t>йствие (с учетом жилых домов, построенных на земельных участках, предназначенных для ведения гражданами садоводства) 684,7 тыс. кв. метров общей площади жилых помещений, что составило 97,1 % к январю-ноябрю 2023 года</w:t>
      </w:r>
      <w:r>
        <w:rPr>
          <w:rStyle w:val="af1"/>
          <w:highlight w:val="white"/>
        </w:rPr>
        <w:footnoteReference w:id="11"/>
      </w:r>
      <w:r>
        <w:rPr>
          <w:highlight w:val="white"/>
        </w:rPr>
        <w:t>.</w:t>
      </w:r>
    </w:p>
    <w:p w:rsidR="00DC1467" w:rsidRDefault="00B70D3E">
      <w:pPr>
        <w:shd w:val="clear" w:color="FFFFFF" w:themeColor="background1" w:fill="FFFFFF" w:themeFill="background1"/>
        <w:spacing w:line="276" w:lineRule="auto"/>
        <w:ind w:firstLine="709"/>
        <w:contextualSpacing/>
        <w:rPr>
          <w:highlight w:val="white"/>
        </w:rPr>
      </w:pPr>
      <w:r>
        <w:rPr>
          <w:b/>
          <w:i/>
          <w:highlight w:val="white"/>
        </w:rPr>
        <w:t>Торговля и услуги населению.</w:t>
      </w:r>
      <w:r>
        <w:rPr>
          <w:b/>
          <w:highlight w:val="white"/>
        </w:rPr>
        <w:t xml:space="preserve"> </w:t>
      </w:r>
      <w:r>
        <w:rPr>
          <w:highlight w:val="white"/>
        </w:rPr>
        <w:t>Оборот р</w:t>
      </w:r>
      <w:r>
        <w:rPr>
          <w:highlight w:val="white"/>
        </w:rPr>
        <w:t>озничной торговли в 2023 году составил 557,6 млрд рублей (109,4 % к 2022 году). Оборот розничной торговли в расчете на одного жителя округа сложился в размере 319,6 тыс. рублей против 295,7 тыс. в 2022 году.</w:t>
      </w:r>
    </w:p>
    <w:p w:rsidR="00DC1467" w:rsidRDefault="00B70D3E">
      <w:pPr>
        <w:shd w:val="clear" w:color="FFFFFF" w:themeColor="background1" w:fill="FFFFFF" w:themeFill="background1"/>
        <w:spacing w:line="276" w:lineRule="auto"/>
        <w:ind w:firstLine="709"/>
        <w:contextualSpacing/>
        <w:rPr>
          <w:highlight w:val="white"/>
        </w:rPr>
      </w:pPr>
      <w:r>
        <w:rPr>
          <w:highlight w:val="white"/>
        </w:rPr>
        <w:t>За год населению продано пищевых продуктов, вклю</w:t>
      </w:r>
      <w:r>
        <w:rPr>
          <w:highlight w:val="white"/>
        </w:rPr>
        <w:t xml:space="preserve">чая напитки, и табачных изделий на сумму 266,5 млрд рублей (на 6,2 % больше, чем в 2022 году), непродовольственных товаров – на 291,1 млрд рублей (на 12,4 %). Удельный вес пищевых продуктов, включая напитки, и табачных изделий в обороте розничной торговли </w:t>
      </w:r>
      <w:r>
        <w:rPr>
          <w:highlight w:val="white"/>
        </w:rPr>
        <w:t xml:space="preserve">составил 47,8 %, непродовольственных товаров – 52,2 %. </w:t>
      </w:r>
    </w:p>
    <w:p w:rsidR="00DC1467" w:rsidRDefault="00B70D3E">
      <w:pPr>
        <w:shd w:val="clear" w:color="FFFFFF" w:themeColor="background1" w:fill="FFFFFF" w:themeFill="background1"/>
        <w:spacing w:line="276" w:lineRule="auto"/>
        <w:ind w:firstLine="709"/>
        <w:contextualSpacing/>
        <w:rPr>
          <w:highlight w:val="white"/>
        </w:rPr>
      </w:pPr>
      <w:r>
        <w:rPr>
          <w:highlight w:val="white"/>
        </w:rPr>
        <w:t xml:space="preserve">Оборот общественного питания оценивался в 43,8 млрд рублей, увеличившись по сравнению с предыдущим годом на 12,2 %. В расчете на </w:t>
      </w:r>
      <w:r>
        <w:rPr>
          <w:highlight w:val="white"/>
        </w:rPr>
        <w:lastRenderedPageBreak/>
        <w:t>душу населения сумма оборота ресторанов, баров, кафе, столовых составил</w:t>
      </w:r>
      <w:r>
        <w:rPr>
          <w:highlight w:val="white"/>
        </w:rPr>
        <w:t xml:space="preserve">а 25,1 тыс. рублей (в 2022 году – 21,9 тыс.). </w:t>
      </w:r>
    </w:p>
    <w:p w:rsidR="00DC1467" w:rsidRDefault="00B70D3E">
      <w:pPr>
        <w:shd w:val="clear" w:color="FFFFFF" w:themeColor="background1" w:fill="FFFFFF" w:themeFill="background1"/>
        <w:spacing w:line="276" w:lineRule="auto"/>
        <w:ind w:firstLine="709"/>
        <w:contextualSpacing/>
        <w:rPr>
          <w:highlight w:val="white"/>
        </w:rPr>
      </w:pPr>
      <w:r>
        <w:rPr>
          <w:highlight w:val="white"/>
        </w:rPr>
        <w:t>Рыночных услуг населению оказано на 166,9 млрд рублей, что выше уровня 2022 года на 4,3 %. Наиболее востребованными были транспортные услуги (19,9 % от общего объема услуг), коммунальные (19,8 %), телекоммуник</w:t>
      </w:r>
      <w:r>
        <w:rPr>
          <w:highlight w:val="white"/>
        </w:rPr>
        <w:t xml:space="preserve">ационные (18,3 %), жилищные (11,1 %), бытовые (8,3 %), медицинские (6,1 %), системы образования (6,0 %). В расчете на каждого жителя Югры предоставлено услуг в среднем на сумму 95,7 тыс. рублей </w:t>
      </w:r>
      <w:r>
        <w:rPr>
          <w:highlight w:val="white"/>
        </w:rPr>
        <w:br/>
        <w:t>(в 2022 году – 85,6 тыс.).</w:t>
      </w:r>
    </w:p>
    <w:p w:rsidR="00DC1467" w:rsidRDefault="00B70D3E">
      <w:pPr>
        <w:shd w:val="clear" w:color="FFFFFF" w:themeColor="background1" w:fill="FFFFFF" w:themeFill="background1"/>
        <w:spacing w:line="276" w:lineRule="auto"/>
        <w:ind w:firstLine="709"/>
        <w:contextualSpacing/>
        <w:rPr>
          <w:highlight w:val="white"/>
        </w:rPr>
      </w:pPr>
      <w:r>
        <w:rPr>
          <w:highlight w:val="white"/>
        </w:rPr>
        <w:t xml:space="preserve">Индекс потребительских цен в декабре 2023 года к декабрю предыдущего года составил 104,6 % (на продовольственные товары – 106,6 %, непродовольственные – 100,8 %, услуги – 107,4 %). </w:t>
      </w:r>
    </w:p>
    <w:p w:rsidR="00DC1467" w:rsidRDefault="00B70D3E">
      <w:pPr>
        <w:shd w:val="clear" w:color="FFFFFF" w:themeColor="background1" w:fill="FFFFFF" w:themeFill="background1"/>
        <w:spacing w:line="276" w:lineRule="auto"/>
        <w:ind w:firstLine="709"/>
        <w:rPr>
          <w:bCs/>
          <w:highlight w:val="white"/>
        </w:rPr>
      </w:pPr>
      <w:r>
        <w:rPr>
          <w:bCs/>
          <w:highlight w:val="white"/>
        </w:rPr>
        <w:t>В январе-ноябре 2024 года оборот розничной торговли в автономном округе составил 580,3 млрд рублей и увеличился на 10,8 % (в сопоставимых ценах) в сравнении с соответствующим периодом 2023 года; населению округа оказано платных услуг во всех секторах реали</w:t>
      </w:r>
      <w:r>
        <w:rPr>
          <w:bCs/>
          <w:highlight w:val="white"/>
        </w:rPr>
        <w:t>зации, по оценке, на 176,7 млрд рублей, что составило 107,0 % к соответствующему периоду предыдущего года</w:t>
      </w:r>
      <w:r>
        <w:rPr>
          <w:rStyle w:val="af1"/>
          <w:bCs/>
          <w:highlight w:val="white"/>
        </w:rPr>
        <w:footnoteReference w:id="12"/>
      </w:r>
      <w:r>
        <w:rPr>
          <w:bCs/>
          <w:highlight w:val="white"/>
        </w:rPr>
        <w:t>.</w:t>
      </w:r>
    </w:p>
    <w:p w:rsidR="00DC1467" w:rsidRDefault="00B70D3E">
      <w:pPr>
        <w:shd w:val="clear" w:color="FFFFFF" w:themeColor="background1" w:fill="FFFFFF" w:themeFill="background1"/>
        <w:spacing w:line="276" w:lineRule="auto"/>
        <w:ind w:firstLine="709"/>
        <w:rPr>
          <w:highlight w:val="white"/>
        </w:rPr>
      </w:pPr>
      <w:r>
        <w:rPr>
          <w:b/>
          <w:i/>
          <w:highlight w:val="white"/>
        </w:rPr>
        <w:t>Автомобильный транспорт.</w:t>
      </w:r>
      <w:r>
        <w:rPr>
          <w:highlight w:val="white"/>
        </w:rPr>
        <w:t xml:space="preserve"> По итогам 2023 года грузооборот автомобильного транспорта организаций (без субъектов малого предпринимательства, с учетом ф</w:t>
      </w:r>
      <w:r>
        <w:rPr>
          <w:highlight w:val="white"/>
        </w:rPr>
        <w:t>изических лиц, осуществляющих перевозки грузов на коммерческой основе) составил 4,1 млрд тонно-километров (95,5 % к уровню 2022 года). Пассажирооборот автомобильного транспорта общего пользования по всему кругу автоперевозчиков равнялся 1275,3 млн пассажир</w:t>
      </w:r>
      <w:r>
        <w:rPr>
          <w:highlight w:val="white"/>
        </w:rPr>
        <w:t xml:space="preserve">о-километров (больше на 5,8 %). </w:t>
      </w:r>
    </w:p>
    <w:p w:rsidR="00DC1467" w:rsidRDefault="00B70D3E">
      <w:pPr>
        <w:shd w:val="clear" w:color="FFFFFF" w:themeColor="background1" w:fill="FFFFFF" w:themeFill="background1"/>
        <w:spacing w:line="276" w:lineRule="auto"/>
        <w:ind w:firstLine="709"/>
        <w:rPr>
          <w:highlight w:val="white"/>
        </w:rPr>
      </w:pPr>
      <w:r>
        <w:rPr>
          <w:highlight w:val="white"/>
        </w:rPr>
        <w:t>Индекс тарифов на грузовые перевозки автомобильным транспортом в 2023 году к предыдущему году составил 103,7 %, на пассажирские перевозки – 108,3 %</w:t>
      </w:r>
      <w:r>
        <w:rPr>
          <w:rStyle w:val="af1"/>
          <w:rFonts w:eastAsiaTheme="minorHAnsi"/>
          <w:highlight w:val="white"/>
          <w:lang w:eastAsia="en-US"/>
        </w:rPr>
        <w:footnoteReference w:id="13"/>
      </w:r>
      <w:r>
        <w:rPr>
          <w:highlight w:val="white"/>
        </w:rPr>
        <w:t xml:space="preserve">. </w:t>
      </w:r>
    </w:p>
    <w:p w:rsidR="00DC1467" w:rsidRDefault="00B70D3E">
      <w:pPr>
        <w:shd w:val="clear" w:color="FFFFFF" w:themeColor="background1" w:fill="FFFFFF" w:themeFill="background1"/>
        <w:spacing w:line="276" w:lineRule="auto"/>
        <w:ind w:firstLine="709"/>
        <w:rPr>
          <w:highlight w:val="white"/>
        </w:rPr>
      </w:pPr>
      <w:r>
        <w:rPr>
          <w:highlight w:val="white"/>
        </w:rPr>
        <w:t>За первые 3 квартала 2024 года грузооборот автомобильного транспорта орг</w:t>
      </w:r>
      <w:r>
        <w:rPr>
          <w:highlight w:val="white"/>
        </w:rPr>
        <w:t>анизаций (без субъектов малого предпринимательства) составил 1996,1 млн тонно-километров, или 98,1 % к соответствующему периоду предыдущего года</w:t>
      </w:r>
      <w:r>
        <w:rPr>
          <w:rStyle w:val="af1"/>
          <w:highlight w:val="white"/>
        </w:rPr>
        <w:footnoteReference w:id="14"/>
      </w:r>
      <w:r>
        <w:rPr>
          <w:highlight w:val="white"/>
        </w:rPr>
        <w:t>.</w:t>
      </w:r>
    </w:p>
    <w:p w:rsidR="00DC1467" w:rsidRDefault="00B70D3E">
      <w:pPr>
        <w:shd w:val="clear" w:color="FFFFFF" w:themeColor="background1" w:fill="FFFFFF" w:themeFill="background1"/>
        <w:spacing w:line="276" w:lineRule="auto"/>
        <w:ind w:firstLine="709"/>
        <w:rPr>
          <w:rFonts w:eastAsiaTheme="minorHAnsi"/>
          <w:highlight w:val="white"/>
        </w:rPr>
      </w:pPr>
      <w:r>
        <w:rPr>
          <w:rFonts w:eastAsiaTheme="minorHAnsi"/>
          <w:b/>
          <w:i/>
          <w:highlight w:val="white"/>
          <w:lang w:eastAsia="en-US"/>
        </w:rPr>
        <w:lastRenderedPageBreak/>
        <w:t>Дорожное хозяйство.</w:t>
      </w:r>
      <w:r>
        <w:rPr>
          <w:rFonts w:eastAsiaTheme="minorHAnsi"/>
          <w:highlight w:val="white"/>
          <w:lang w:eastAsia="en-US"/>
        </w:rPr>
        <w:t xml:space="preserve"> На 1 января 2024 года протяженность автомобильных дорог общего пользования федерального, </w:t>
      </w:r>
      <w:r>
        <w:rPr>
          <w:rFonts w:eastAsiaTheme="minorHAnsi"/>
          <w:highlight w:val="white"/>
          <w:lang w:eastAsia="en-US"/>
        </w:rPr>
        <w:t>регионального, межмуниципального и местного значения составляла 7 469,4 км, в том числе:</w:t>
      </w:r>
    </w:p>
    <w:p w:rsidR="00DC1467" w:rsidRDefault="00B70D3E">
      <w:pPr>
        <w:shd w:val="clear" w:color="FFFFFF" w:themeColor="background1" w:fill="FFFFFF" w:themeFill="background1"/>
        <w:spacing w:line="276" w:lineRule="auto"/>
        <w:ind w:firstLine="709"/>
        <w:rPr>
          <w:rFonts w:eastAsiaTheme="minorHAnsi"/>
          <w:highlight w:val="white"/>
        </w:rPr>
      </w:pPr>
      <w:r>
        <w:rPr>
          <w:rFonts w:eastAsiaTheme="minorHAnsi"/>
          <w:highlight w:val="white"/>
          <w:lang w:eastAsia="en-US"/>
        </w:rPr>
        <w:t>- местного значения – 4 168,8 км;</w:t>
      </w:r>
    </w:p>
    <w:p w:rsidR="00DC1467" w:rsidRDefault="00B70D3E">
      <w:pPr>
        <w:shd w:val="clear" w:color="FFFFFF" w:themeColor="background1" w:fill="FFFFFF" w:themeFill="background1"/>
        <w:spacing w:line="276" w:lineRule="auto"/>
        <w:ind w:firstLine="709"/>
        <w:rPr>
          <w:rFonts w:eastAsiaTheme="minorHAnsi"/>
          <w:highlight w:val="white"/>
        </w:rPr>
      </w:pPr>
      <w:r>
        <w:rPr>
          <w:rFonts w:eastAsiaTheme="minorHAnsi"/>
          <w:highlight w:val="white"/>
          <w:lang w:eastAsia="en-US"/>
        </w:rPr>
        <w:t>- регионального значения – 2 866,7 км;</w:t>
      </w:r>
    </w:p>
    <w:p w:rsidR="00DC1467" w:rsidRDefault="00B70D3E">
      <w:pPr>
        <w:shd w:val="clear" w:color="FFFFFF" w:themeColor="background1" w:fill="FFFFFF" w:themeFill="background1"/>
        <w:spacing w:line="276" w:lineRule="auto"/>
        <w:ind w:firstLine="709"/>
        <w:rPr>
          <w:rFonts w:eastAsiaTheme="minorHAnsi"/>
          <w:highlight w:val="white"/>
        </w:rPr>
      </w:pPr>
      <w:r>
        <w:rPr>
          <w:rFonts w:eastAsiaTheme="minorHAnsi"/>
          <w:highlight w:val="white"/>
          <w:lang w:eastAsia="en-US"/>
        </w:rPr>
        <w:t>- федерального значения – 433,9 км.</w:t>
      </w:r>
    </w:p>
    <w:p w:rsidR="00DC1467" w:rsidRDefault="00B70D3E">
      <w:pPr>
        <w:shd w:val="clear" w:color="FFFFFF" w:themeColor="background1" w:fill="FFFFFF" w:themeFill="background1"/>
        <w:spacing w:line="276" w:lineRule="auto"/>
        <w:ind w:firstLine="709"/>
        <w:rPr>
          <w:highlight w:val="white"/>
        </w:rPr>
      </w:pPr>
      <w:r>
        <w:rPr>
          <w:rFonts w:eastAsiaTheme="minorHAnsi"/>
          <w:highlight w:val="white"/>
          <w:lang w:eastAsia="en-US"/>
        </w:rPr>
        <w:t>Для обеспечения транспортной доступности поселений, не име</w:t>
      </w:r>
      <w:r>
        <w:rPr>
          <w:rFonts w:eastAsiaTheme="minorHAnsi"/>
          <w:highlight w:val="white"/>
          <w:lang w:eastAsia="en-US"/>
        </w:rPr>
        <w:t>ющих круглогодичной связи по автомобильным дорогам в зимний период, с ноября 2024 года по апрель 2025 года введены 2 504,9 км зимних дорог и ледовых переправ</w:t>
      </w:r>
      <w:r>
        <w:rPr>
          <w:rStyle w:val="af1"/>
          <w:rFonts w:eastAsiaTheme="minorHAnsi"/>
          <w:highlight w:val="white"/>
          <w:lang w:eastAsia="en-US"/>
        </w:rPr>
        <w:footnoteReference w:id="15"/>
      </w:r>
      <w:r>
        <w:rPr>
          <w:highlight w:val="white"/>
        </w:rPr>
        <w:t>.</w:t>
      </w:r>
    </w:p>
    <w:p w:rsidR="00DC1467" w:rsidRDefault="00B70D3E">
      <w:pPr>
        <w:shd w:val="clear" w:color="FFFFFF" w:themeColor="background1" w:fill="FFFFFF" w:themeFill="background1"/>
        <w:spacing w:line="276" w:lineRule="auto"/>
        <w:ind w:firstLine="709"/>
        <w:rPr>
          <w:highlight w:val="white"/>
        </w:rPr>
      </w:pPr>
      <w:r>
        <w:rPr>
          <w:b/>
          <w:i/>
          <w:highlight w:val="white"/>
        </w:rPr>
        <w:t>Наука и инновации.</w:t>
      </w:r>
      <w:r>
        <w:rPr>
          <w:highlight w:val="white"/>
        </w:rPr>
        <w:t xml:space="preserve"> На конец 2023 года научными исследованиями и разработками занимались 22 орган</w:t>
      </w:r>
      <w:r>
        <w:rPr>
          <w:highlight w:val="white"/>
        </w:rPr>
        <w:t xml:space="preserve">изации (без субъектов малого предпринимательства) с численностью персонала 1248 человек. </w:t>
      </w:r>
      <w:r>
        <w:rPr>
          <w:color w:val="000000"/>
          <w:highlight w:val="white"/>
        </w:rPr>
        <w:t xml:space="preserve">По сравнению с предыдущим годом число организаций увеличилось на 22,2 %, численность персонала – на 28,4 %. </w:t>
      </w:r>
      <w:r>
        <w:rPr>
          <w:highlight w:val="white"/>
        </w:rPr>
        <w:t>Общие затраты на исследования и разработки за год составили</w:t>
      </w:r>
      <w:r>
        <w:rPr>
          <w:highlight w:val="white"/>
        </w:rPr>
        <w:t xml:space="preserve"> 5,0 млрд рублей, что в фактически действовавших ценах на 33,5 % выше уровня предыдущего года.</w:t>
      </w:r>
    </w:p>
    <w:p w:rsidR="00DC1467" w:rsidRDefault="00B70D3E">
      <w:pPr>
        <w:shd w:val="clear" w:color="FFFFFF" w:themeColor="background1" w:fill="FFFFFF" w:themeFill="background1"/>
        <w:spacing w:line="276" w:lineRule="auto"/>
        <w:ind w:firstLine="709"/>
        <w:contextualSpacing/>
        <w:rPr>
          <w:bCs/>
          <w:iCs/>
          <w:color w:val="000000"/>
          <w:highlight w:val="white"/>
        </w:rPr>
      </w:pPr>
      <w:r>
        <w:rPr>
          <w:highlight w:val="white"/>
        </w:rPr>
        <w:t xml:space="preserve">В 2023 году уровень инновационной активности организаций (без субъектов малого предпринимательства) составил 5,7 % от общего числа обследованных организаций. За </w:t>
      </w:r>
      <w:r>
        <w:rPr>
          <w:highlight w:val="white"/>
        </w:rPr>
        <w:t xml:space="preserve">год на инновационную деятельность организациями израсходовано 133,0 млрд рублей, что в фактически действовавших ценах на 52,2 % выше уровня 2022 года. </w:t>
      </w:r>
    </w:p>
    <w:p w:rsidR="00DC1467" w:rsidRDefault="00B70D3E">
      <w:pPr>
        <w:shd w:val="clear" w:color="FFFFFF" w:themeColor="background1" w:fill="FFFFFF" w:themeFill="background1"/>
        <w:spacing w:line="276" w:lineRule="auto"/>
        <w:ind w:firstLine="709"/>
        <w:rPr>
          <w:highlight w:val="white"/>
        </w:rPr>
      </w:pPr>
      <w:r>
        <w:rPr>
          <w:highlight w:val="white"/>
        </w:rPr>
        <w:t>Объем отгруженных инновационных товаров, выполненных работ, оказанных услуг инновационно-активными орган</w:t>
      </w:r>
      <w:r>
        <w:rPr>
          <w:highlight w:val="white"/>
        </w:rPr>
        <w:t>изациями вырос в 2,6 раза и составил 67,7 млрд рублей</w:t>
      </w:r>
      <w:r>
        <w:rPr>
          <w:rStyle w:val="af1"/>
          <w:highlight w:val="white"/>
        </w:rPr>
        <w:footnoteReference w:id="16"/>
      </w:r>
      <w:r>
        <w:rPr>
          <w:highlight w:val="white"/>
        </w:rPr>
        <w:t>.</w:t>
      </w:r>
    </w:p>
    <w:p w:rsidR="00DC1467" w:rsidRDefault="00B70D3E">
      <w:pPr>
        <w:shd w:val="clear" w:color="FFFFFF" w:themeColor="background1" w:fill="FFFFFF" w:themeFill="background1"/>
        <w:spacing w:line="276" w:lineRule="auto"/>
        <w:ind w:firstLine="709"/>
        <w:contextualSpacing/>
        <w:rPr>
          <w:highlight w:val="white"/>
        </w:rPr>
      </w:pPr>
      <w:r>
        <w:rPr>
          <w:b/>
          <w:i/>
          <w:highlight w:val="white"/>
        </w:rPr>
        <w:t>Туризм и отдых</w:t>
      </w:r>
      <w:r>
        <w:rPr>
          <w:b/>
          <w:highlight w:val="white"/>
        </w:rPr>
        <w:t>.</w:t>
      </w:r>
      <w:r>
        <w:rPr>
          <w:highlight w:val="white"/>
        </w:rPr>
        <w:t xml:space="preserve"> Для лечения и отдыха жителей автономного округа на начало 2024 года действовали 32 санаторно-курортные организации и организации отдыха (на конец 2022 года – 31), из них 2 санатория (4</w:t>
      </w:r>
      <w:r>
        <w:rPr>
          <w:highlight w:val="white"/>
        </w:rPr>
        <w:t>). Число обслуженных лиц в них составило 104,9 тыс. человек (в 2022 году – 109,3). Гостиничные услуги оказывали 210 гостиниц и аналогичных средств размещения общей вместимостью 12,3 тыс. мест. За год ими предоставлено 1324,0 тыс. ночевок (в 2022 году – 106</w:t>
      </w:r>
      <w:r>
        <w:rPr>
          <w:highlight w:val="white"/>
        </w:rPr>
        <w:t>1,9 тыс.).</w:t>
      </w:r>
    </w:p>
    <w:p w:rsidR="00DC1467" w:rsidRDefault="00B70D3E">
      <w:pPr>
        <w:shd w:val="clear" w:color="FFFFFF" w:themeColor="background1" w:fill="FFFFFF" w:themeFill="background1"/>
        <w:spacing w:line="276" w:lineRule="auto"/>
        <w:ind w:firstLine="709"/>
        <w:contextualSpacing/>
        <w:rPr>
          <w:highlight w:val="white"/>
        </w:rPr>
      </w:pPr>
      <w:r>
        <w:rPr>
          <w:highlight w:val="white"/>
        </w:rPr>
        <w:t xml:space="preserve">Туристскими фирмами округа в 2023 году реализовано 34,5 тыс. турпакетов (в 2022 году – 28,9 тыс.), обслужено 66,7 тыс. человек (57,4 тыс.). Доля реализованных турпакетов по территории России составила 42,2 %, по </w:t>
      </w:r>
      <w:r>
        <w:rPr>
          <w:highlight w:val="white"/>
        </w:rPr>
        <w:lastRenderedPageBreak/>
        <w:t>другим странам – 57,8 %. Стоимост</w:t>
      </w:r>
      <w:r>
        <w:rPr>
          <w:highlight w:val="white"/>
        </w:rPr>
        <w:t>ь реализованных турпакетов за год увеличилась с 3636,3 млн рублей до 5309,8 млн.</w:t>
      </w:r>
    </w:p>
    <w:p w:rsidR="00DC1467" w:rsidRDefault="00B70D3E">
      <w:pPr>
        <w:shd w:val="clear" w:color="FFFFFF" w:themeColor="background1" w:fill="FFFFFF" w:themeFill="background1"/>
        <w:spacing w:line="276" w:lineRule="auto"/>
        <w:ind w:firstLine="709"/>
        <w:contextualSpacing/>
        <w:rPr>
          <w:highlight w:val="white"/>
        </w:rPr>
      </w:pPr>
      <w:r>
        <w:rPr>
          <w:highlight w:val="white"/>
        </w:rPr>
        <w:t>В 2023 году численность отдохнувших детей за лето в организациях, предоставляющих услуги по организации отдыха и оздоровления детей, составила 49,0 тыс. человек (в 2022 году –</w:t>
      </w:r>
      <w:r>
        <w:rPr>
          <w:highlight w:val="white"/>
        </w:rPr>
        <w:t xml:space="preserve"> 49,8 тыс.)</w:t>
      </w:r>
      <w:r>
        <w:rPr>
          <w:rStyle w:val="af1"/>
          <w:highlight w:val="white"/>
        </w:rPr>
        <w:footnoteReference w:id="17"/>
      </w:r>
      <w:r>
        <w:rPr>
          <w:highlight w:val="white"/>
        </w:rPr>
        <w:t>.</w:t>
      </w:r>
    </w:p>
    <w:p w:rsidR="00DC1467" w:rsidRDefault="00B70D3E">
      <w:pPr>
        <w:shd w:val="clear" w:color="FFFFFF" w:themeColor="background1" w:fill="FFFFFF" w:themeFill="background1"/>
        <w:spacing w:line="276" w:lineRule="auto"/>
        <w:ind w:firstLine="709"/>
        <w:contextualSpacing/>
        <w:rPr>
          <w:highlight w:val="white"/>
        </w:rPr>
      </w:pPr>
      <w:r>
        <w:rPr>
          <w:b/>
          <w:i/>
          <w:highlight w:val="white"/>
        </w:rPr>
        <w:t xml:space="preserve">Уровень жизни населения. </w:t>
      </w:r>
      <w:r>
        <w:rPr>
          <w:highlight w:val="white"/>
        </w:rPr>
        <w:t xml:space="preserve">В 2023 году денежные доходы в расчете на душу населения составили 72,6 тыс. рублей в месяц (в 2022 году – 66,5 тыс. рублей). </w:t>
      </w:r>
    </w:p>
    <w:p w:rsidR="00DC1467" w:rsidRDefault="00B70D3E">
      <w:pPr>
        <w:pStyle w:val="af3"/>
        <w:shd w:val="clear" w:color="FFFFFF" w:themeColor="background1" w:fill="FFFFFF" w:themeFill="background1"/>
        <w:spacing w:after="0" w:line="276" w:lineRule="auto"/>
        <w:ind w:firstLine="709"/>
        <w:contextualSpacing/>
        <w:jc w:val="both"/>
        <w:rPr>
          <w:sz w:val="28"/>
          <w:szCs w:val="28"/>
          <w:highlight w:val="white"/>
        </w:rPr>
      </w:pPr>
      <w:r>
        <w:rPr>
          <w:sz w:val="28"/>
          <w:szCs w:val="28"/>
          <w:highlight w:val="white"/>
        </w:rPr>
        <w:t>Среднемесячная</w:t>
      </w:r>
      <w:r>
        <w:rPr>
          <w:spacing w:val="-20"/>
          <w:sz w:val="28"/>
          <w:szCs w:val="28"/>
          <w:highlight w:val="white"/>
        </w:rPr>
        <w:t xml:space="preserve"> </w:t>
      </w:r>
      <w:r>
        <w:rPr>
          <w:sz w:val="28"/>
          <w:szCs w:val="28"/>
          <w:highlight w:val="white"/>
        </w:rPr>
        <w:t>номинальная начисленная заработная плата одного работника равнялась 108,1 ты</w:t>
      </w:r>
      <w:r>
        <w:rPr>
          <w:sz w:val="28"/>
          <w:szCs w:val="28"/>
          <w:highlight w:val="white"/>
        </w:rPr>
        <w:t xml:space="preserve">с. рублей. Размер реальной заработной платы к уровню предыдущего года вырос на 8,4 %. На начало 2024 года просроченная задолженность по заработной плате в организациях (без субъектов малого предпринимательства) наблюдаемых видов экономической деятельности </w:t>
      </w:r>
      <w:r>
        <w:rPr>
          <w:sz w:val="28"/>
          <w:szCs w:val="28"/>
          <w:highlight w:val="white"/>
        </w:rPr>
        <w:t>отсутствовала.</w:t>
      </w:r>
    </w:p>
    <w:p w:rsidR="00DC1467" w:rsidRDefault="00B70D3E">
      <w:pPr>
        <w:shd w:val="clear" w:color="FFFFFF" w:themeColor="background1" w:fill="FFFFFF" w:themeFill="background1"/>
        <w:spacing w:line="276" w:lineRule="auto"/>
        <w:ind w:firstLine="709"/>
        <w:contextualSpacing/>
        <w:rPr>
          <w:highlight w:val="white"/>
        </w:rPr>
      </w:pPr>
      <w:r>
        <w:rPr>
          <w:highlight w:val="white"/>
        </w:rPr>
        <w:t>По данным Фонда пенсионного и социального страхования Российской Федерации, средний размер назначенных пенсий в округе на конец 2023 года составил 30,1 тыс. рублей. Реальный размер пенсий к уровню 2022 года повысился на 1,9 %.</w:t>
      </w:r>
    </w:p>
    <w:p w:rsidR="00DC1467" w:rsidRDefault="00B70D3E">
      <w:pPr>
        <w:pStyle w:val="af3"/>
        <w:shd w:val="clear" w:color="FFFFFF" w:themeColor="background1" w:fill="FFFFFF" w:themeFill="background1"/>
        <w:spacing w:after="0" w:line="276" w:lineRule="auto"/>
        <w:ind w:firstLine="709"/>
        <w:contextualSpacing/>
        <w:jc w:val="both"/>
        <w:rPr>
          <w:sz w:val="28"/>
          <w:szCs w:val="28"/>
          <w:highlight w:val="white"/>
        </w:rPr>
      </w:pPr>
      <w:r>
        <w:rPr>
          <w:sz w:val="28"/>
          <w:szCs w:val="28"/>
          <w:highlight w:val="white"/>
        </w:rPr>
        <w:t xml:space="preserve">По данным Банка России, общий объем средств (вкладов) в кредитных организациях (с учетом данных по ПАО «Сбербанк России») увеличился на 25,1 % и в 2023 году составил 406,0 тыс. рублей на одного жителя. В учреждениях ПАО «Сбербанк России» средства (вклады) </w:t>
      </w:r>
      <w:r>
        <w:rPr>
          <w:sz w:val="28"/>
          <w:szCs w:val="28"/>
          <w:highlight w:val="white"/>
        </w:rPr>
        <w:t xml:space="preserve">населения по сравнению с предыдущим годом выросли на 31,0 % и равнялись 256,0 тыс. рублей в расчете на душу населения. </w:t>
      </w:r>
    </w:p>
    <w:p w:rsidR="00DC1467" w:rsidRDefault="00B70D3E">
      <w:pPr>
        <w:pStyle w:val="af3"/>
        <w:shd w:val="clear" w:color="FFFFFF" w:themeColor="background1" w:fill="FFFFFF" w:themeFill="background1"/>
        <w:spacing w:after="0" w:line="276" w:lineRule="auto"/>
        <w:ind w:firstLine="709"/>
        <w:contextualSpacing/>
        <w:jc w:val="both"/>
        <w:rPr>
          <w:color w:val="000000"/>
          <w:sz w:val="28"/>
          <w:szCs w:val="28"/>
          <w:highlight w:val="white"/>
        </w:rPr>
      </w:pPr>
      <w:r>
        <w:rPr>
          <w:sz w:val="28"/>
          <w:szCs w:val="28"/>
          <w:highlight w:val="white"/>
        </w:rPr>
        <w:t>Общий жилищный фонд в округе на конец года насчитывал 38,1 млн кв. метров общей площади жилых помещений, что на 1,9% больше, чем в преды</w:t>
      </w:r>
      <w:r>
        <w:rPr>
          <w:sz w:val="28"/>
          <w:szCs w:val="28"/>
          <w:highlight w:val="white"/>
        </w:rPr>
        <w:t xml:space="preserve">дущем году. В среднем на одного жителя приходилось 21,6 кв. метра жилья, что соответствовало значению предыдущего года. </w:t>
      </w:r>
      <w:r>
        <w:rPr>
          <w:color w:val="000000"/>
          <w:sz w:val="28"/>
          <w:szCs w:val="28"/>
          <w:highlight w:val="white"/>
        </w:rPr>
        <w:t>Средняя цена 1 кв. метра проданных квартир на конец 2023 года на первичном рынке жилья составила 109,6 тыс. рублей, на вторичном – 103,5</w:t>
      </w:r>
      <w:r>
        <w:rPr>
          <w:color w:val="000000"/>
          <w:sz w:val="28"/>
          <w:szCs w:val="28"/>
          <w:highlight w:val="white"/>
        </w:rPr>
        <w:t xml:space="preserve"> тыс. рублей.</w:t>
      </w:r>
    </w:p>
    <w:p w:rsidR="00DC1467" w:rsidRDefault="00B70D3E">
      <w:pPr>
        <w:shd w:val="clear" w:color="FFFFFF" w:themeColor="background1" w:fill="FFFFFF" w:themeFill="background1"/>
        <w:spacing w:line="276" w:lineRule="auto"/>
        <w:ind w:firstLine="709"/>
        <w:contextualSpacing/>
        <w:rPr>
          <w:highlight w:val="white"/>
        </w:rPr>
      </w:pPr>
      <w:r>
        <w:rPr>
          <w:highlight w:val="white"/>
        </w:rPr>
        <w:t>Обеспеченность жителей Югры в 2023 году личными легковыми автомобилями (по данным МВД России) в расчете на 1000 населения составила 387 штук (в 2022 году – 379)</w:t>
      </w:r>
      <w:r>
        <w:rPr>
          <w:rStyle w:val="af1"/>
          <w:highlight w:val="white"/>
        </w:rPr>
        <w:footnoteReference w:id="18"/>
      </w:r>
      <w:r>
        <w:rPr>
          <w:highlight w:val="white"/>
        </w:rPr>
        <w:t>.</w:t>
      </w:r>
    </w:p>
    <w:p w:rsidR="00DC1467" w:rsidRDefault="00B70D3E">
      <w:pPr>
        <w:pStyle w:val="af3"/>
        <w:shd w:val="clear" w:color="FFFFFF" w:themeColor="background1" w:fill="FFFFFF" w:themeFill="background1"/>
        <w:spacing w:after="0" w:line="276" w:lineRule="auto"/>
        <w:ind w:firstLine="709"/>
        <w:jc w:val="both"/>
        <w:rPr>
          <w:b/>
          <w:i/>
          <w:sz w:val="28"/>
          <w:szCs w:val="28"/>
          <w:highlight w:val="white"/>
        </w:rPr>
      </w:pPr>
      <w:r>
        <w:rPr>
          <w:b/>
          <w:i/>
          <w:sz w:val="28"/>
          <w:szCs w:val="28"/>
          <w:highlight w:val="white"/>
        </w:rPr>
        <w:t xml:space="preserve">Социальная сфера. </w:t>
      </w:r>
    </w:p>
    <w:p w:rsidR="00DC1467" w:rsidRDefault="00B70D3E">
      <w:pPr>
        <w:shd w:val="clear" w:color="FFFFFF" w:themeColor="background1" w:fill="FFFFFF" w:themeFill="background1"/>
        <w:spacing w:line="274" w:lineRule="auto"/>
        <w:ind w:firstLine="709"/>
        <w:contextualSpacing/>
        <w:rPr>
          <w:highlight w:val="white"/>
        </w:rPr>
      </w:pPr>
      <w:r>
        <w:rPr>
          <w:i/>
          <w:highlight w:val="white"/>
        </w:rPr>
        <w:t>Здравоохранение.</w:t>
      </w:r>
      <w:r>
        <w:rPr>
          <w:b/>
          <w:highlight w:val="white"/>
        </w:rPr>
        <w:t xml:space="preserve"> </w:t>
      </w:r>
      <w:r>
        <w:rPr>
          <w:highlight w:val="white"/>
        </w:rPr>
        <w:t xml:space="preserve">На конец 2023 года медицинскую помощь населению оказывали в 223 амбулаторно-поликлинических и 54 больничных </w:t>
      </w:r>
      <w:r>
        <w:rPr>
          <w:highlight w:val="white"/>
        </w:rPr>
        <w:lastRenderedPageBreak/>
        <w:t>организациях, 188 женских консультациях, детских поликлиниках, отделениях (кабинетах), 66 фельдшерско-акушерских пунктах. Кроме того, действовало 39</w:t>
      </w:r>
      <w:r>
        <w:rPr>
          <w:highlight w:val="white"/>
        </w:rPr>
        <w:t xml:space="preserve"> станций (отделений) скорой медицинской помощи. </w:t>
      </w:r>
    </w:p>
    <w:p w:rsidR="00DC1467" w:rsidRDefault="00B70D3E">
      <w:pPr>
        <w:shd w:val="clear" w:color="FFFFFF" w:themeColor="background1" w:fill="FFFFFF" w:themeFill="background1"/>
        <w:spacing w:line="274" w:lineRule="auto"/>
        <w:ind w:firstLine="709"/>
        <w:contextualSpacing/>
        <w:rPr>
          <w:highlight w:val="white"/>
        </w:rPr>
      </w:pPr>
      <w:r>
        <w:rPr>
          <w:highlight w:val="white"/>
        </w:rPr>
        <w:t xml:space="preserve">Зарегистрировано 12,5 тыс. больничных коек. Показатель обеспеченности населения больничными койками в расчете на 10000 жителей за год изменился с 72,6 до 71,3.  </w:t>
      </w:r>
    </w:p>
    <w:p w:rsidR="00DC1467" w:rsidRDefault="00B70D3E">
      <w:pPr>
        <w:shd w:val="clear" w:color="FFFFFF" w:themeColor="background1" w:fill="FFFFFF" w:themeFill="background1"/>
        <w:spacing w:line="274" w:lineRule="auto"/>
        <w:ind w:firstLine="709"/>
        <w:contextualSpacing/>
        <w:rPr>
          <w:highlight w:val="white"/>
        </w:rPr>
      </w:pPr>
      <w:r>
        <w:rPr>
          <w:highlight w:val="white"/>
        </w:rPr>
        <w:t>Мощность амбулаторно-поликлинических организа</w:t>
      </w:r>
      <w:r>
        <w:rPr>
          <w:highlight w:val="white"/>
        </w:rPr>
        <w:t xml:space="preserve">ций составила 46,6 тыс. посещений в смену. Обеспеченность на 10000 населения такими учреждениями в 2023 году равнялась 265,0 посещений (в 2022 году – 269,2). </w:t>
      </w:r>
    </w:p>
    <w:p w:rsidR="00DC1467" w:rsidRDefault="00B70D3E">
      <w:pPr>
        <w:shd w:val="clear" w:color="FFFFFF" w:themeColor="background1" w:fill="FFFFFF" w:themeFill="background1"/>
        <w:spacing w:line="274" w:lineRule="auto"/>
        <w:ind w:firstLine="709"/>
        <w:contextualSpacing/>
        <w:rPr>
          <w:highlight w:val="white"/>
        </w:rPr>
      </w:pPr>
      <w:r>
        <w:rPr>
          <w:highlight w:val="white"/>
        </w:rPr>
        <w:t>Численность врачей и среднего медицинского персонала составила соответственно 10,2 тыс. и 24,2 ты</w:t>
      </w:r>
      <w:r>
        <w:rPr>
          <w:highlight w:val="white"/>
        </w:rPr>
        <w:t>с. человек. В расчете на 10000 населения показатель обеспеченности жителей региона врачами в сравнении с 2022 годом изменился незначительно и составил 58,2, средним медицинским персоналом – с 139,9 в 2022 году до 137,4 в 2023 году</w:t>
      </w:r>
      <w:r>
        <w:rPr>
          <w:rStyle w:val="af1"/>
          <w:highlight w:val="white"/>
        </w:rPr>
        <w:footnoteReference w:id="19"/>
      </w:r>
      <w:r>
        <w:rPr>
          <w:highlight w:val="white"/>
        </w:rPr>
        <w:t xml:space="preserve">. </w:t>
      </w:r>
    </w:p>
    <w:p w:rsidR="00DC1467" w:rsidRDefault="00B70D3E">
      <w:pPr>
        <w:shd w:val="clear" w:color="FFFFFF" w:themeColor="background1" w:fill="FFFFFF" w:themeFill="background1"/>
        <w:spacing w:line="274" w:lineRule="auto"/>
        <w:ind w:firstLine="709"/>
        <w:contextualSpacing/>
        <w:rPr>
          <w:highlight w:val="white"/>
        </w:rPr>
      </w:pPr>
      <w:r>
        <w:rPr>
          <w:highlight w:val="white"/>
        </w:rPr>
        <w:t xml:space="preserve">В течение первых трех </w:t>
      </w:r>
      <w:r>
        <w:rPr>
          <w:highlight w:val="white"/>
        </w:rPr>
        <w:t>кварталов 2024 года в Югре действовала 91 государственная организация, подведомственная Департаменту здравоохранения автономного округа (в аналогичный период 2023 года – 92). При этом численность работающих в сфере «Здравоохранение» составила 49 214 челове</w:t>
      </w:r>
      <w:r>
        <w:rPr>
          <w:highlight w:val="white"/>
        </w:rPr>
        <w:t>к против 49 089 в аналогичном периоде 2023 года, 95 8611 человек прошли профилактические медицинские осмотры (против 48 912 человек в январе-сентябре 2023 года)</w:t>
      </w:r>
      <w:r>
        <w:rPr>
          <w:rStyle w:val="af1"/>
          <w:highlight w:val="white"/>
        </w:rPr>
        <w:footnoteReference w:id="20"/>
      </w:r>
      <w:r>
        <w:rPr>
          <w:highlight w:val="white"/>
        </w:rPr>
        <w:t>.</w:t>
      </w:r>
    </w:p>
    <w:p w:rsidR="00DC1467" w:rsidRDefault="00B70D3E">
      <w:pPr>
        <w:shd w:val="clear" w:color="FFFFFF" w:themeColor="background1" w:fill="FFFFFF" w:themeFill="background1"/>
        <w:spacing w:line="274" w:lineRule="auto"/>
        <w:ind w:firstLine="709"/>
        <w:rPr>
          <w:highlight w:val="white"/>
        </w:rPr>
      </w:pPr>
      <w:r>
        <w:rPr>
          <w:rFonts w:eastAsiaTheme="minorHAnsi"/>
          <w:highlight w:val="white"/>
          <w:lang w:eastAsia="en-US"/>
        </w:rPr>
        <w:t>К 2024 году</w:t>
      </w:r>
      <w:r>
        <w:rPr>
          <w:rFonts w:eastAsiaTheme="minorHAnsi"/>
          <w:i/>
          <w:highlight w:val="white"/>
          <w:lang w:eastAsia="en-US"/>
        </w:rPr>
        <w:t xml:space="preserve"> физкультурно-оздоровительную деятельность</w:t>
      </w:r>
      <w:r>
        <w:rPr>
          <w:rFonts w:eastAsiaTheme="minorHAnsi"/>
          <w:highlight w:val="white"/>
          <w:lang w:eastAsia="en-US"/>
        </w:rPr>
        <w:t xml:space="preserve"> на территории автономного округа </w:t>
      </w:r>
      <w:r>
        <w:rPr>
          <w:highlight w:val="white"/>
        </w:rPr>
        <w:t>осущес</w:t>
      </w:r>
      <w:r>
        <w:rPr>
          <w:highlight w:val="white"/>
        </w:rPr>
        <w:t>твляли 4 003 спортивных сооружений с единовременной пропускной способностью 139 045 157 чел./час. С целью привлечения жителей к занятиям спортом работали 4 стадиона (в 2022 году – 4), 1002 спортивных зала (998), 149 плавательных бассейнов (148) и другие сп</w:t>
      </w:r>
      <w:r>
        <w:rPr>
          <w:highlight w:val="white"/>
        </w:rPr>
        <w:t>ортивные сооружения. Из общего количества спортивных сооружений 568 расположены в сельской местности</w:t>
      </w:r>
      <w:r>
        <w:rPr>
          <w:rStyle w:val="af1"/>
          <w:highlight w:val="white"/>
        </w:rPr>
        <w:footnoteReference w:id="21"/>
      </w:r>
      <w:r>
        <w:rPr>
          <w:highlight w:val="white"/>
        </w:rPr>
        <w:t xml:space="preserve">. </w:t>
      </w:r>
    </w:p>
    <w:p w:rsidR="00DC1467" w:rsidRDefault="00B70D3E">
      <w:pPr>
        <w:shd w:val="clear" w:color="FFFFFF" w:themeColor="background1" w:fill="FFFFFF" w:themeFill="background1"/>
        <w:spacing w:line="274" w:lineRule="auto"/>
        <w:ind w:firstLine="709"/>
        <w:contextualSpacing/>
        <w:rPr>
          <w:highlight w:val="white"/>
        </w:rPr>
      </w:pPr>
      <w:r>
        <w:rPr>
          <w:highlight w:val="white"/>
        </w:rPr>
        <w:t>В рамках развития материально-технической базы учреждений спорта 2024 году с целью развития сети спортивных объектов шаговой доступности заключены 22 со</w:t>
      </w:r>
      <w:r>
        <w:rPr>
          <w:highlight w:val="white"/>
        </w:rPr>
        <w:t xml:space="preserve">глашения с муниципальными образованиями автономного округа на предоставление субсидии. </w:t>
      </w:r>
    </w:p>
    <w:p w:rsidR="00DC1467" w:rsidRDefault="00B70D3E">
      <w:pPr>
        <w:pStyle w:val="aff5"/>
        <w:shd w:val="clear" w:color="FFFFFF" w:themeColor="background1" w:fill="FFFFFF" w:themeFill="background1"/>
        <w:spacing w:line="274" w:lineRule="auto"/>
        <w:ind w:firstLine="709"/>
        <w:jc w:val="both"/>
        <w:rPr>
          <w:rFonts w:ascii="Times New Roman" w:hAnsi="Times New Roman" w:cs="Times New Roman"/>
          <w:sz w:val="28"/>
          <w:szCs w:val="28"/>
          <w:highlight w:val="white"/>
        </w:rPr>
      </w:pPr>
      <w:r>
        <w:rPr>
          <w:rFonts w:ascii="Times New Roman" w:hAnsi="Times New Roman" w:cs="Times New Roman"/>
          <w:sz w:val="28"/>
          <w:szCs w:val="28"/>
          <w:highlight w:val="white"/>
        </w:rPr>
        <w:lastRenderedPageBreak/>
        <w:t>В рамках федерального проекта «Бизнес-спринт (Я выбираю спорт)» введен в эксплуатацию 1 объект спорта: «Модульное спортивное сооружение», Советский район, г. Советский.</w:t>
      </w:r>
    </w:p>
    <w:p w:rsidR="00DC1467" w:rsidRDefault="00B70D3E">
      <w:pPr>
        <w:shd w:val="clear" w:color="FFFFFF" w:themeColor="background1" w:fill="FFFFFF" w:themeFill="background1"/>
        <w:spacing w:line="274" w:lineRule="auto"/>
        <w:ind w:firstLine="709"/>
        <w:rPr>
          <w:highlight w:val="white"/>
        </w:rPr>
      </w:pPr>
      <w:r>
        <w:rPr>
          <w:highlight w:val="white"/>
        </w:rPr>
        <w:t>Спортивные учреждения и спортивные сооружения муниципальных образований автономного округа доступны для всех категорий граждан, в том числе для лиц с ограниченными возможностями здоровья и малобильных групп.</w:t>
      </w:r>
    </w:p>
    <w:p w:rsidR="00DC1467" w:rsidRDefault="00B70D3E">
      <w:pPr>
        <w:shd w:val="clear" w:color="FFFFFF" w:themeColor="background1" w:fill="FFFFFF" w:themeFill="background1"/>
        <w:spacing w:line="274" w:lineRule="auto"/>
        <w:ind w:firstLine="709"/>
        <w:rPr>
          <w:highlight w:val="white"/>
        </w:rPr>
      </w:pPr>
      <w:r>
        <w:rPr>
          <w:rFonts w:eastAsiaTheme="minorHAnsi"/>
          <w:i/>
          <w:highlight w:val="white"/>
          <w:lang w:eastAsia="en-US"/>
        </w:rPr>
        <w:t>Сеть учреждений социальной поддержки населения</w:t>
      </w:r>
      <w:r>
        <w:rPr>
          <w:rFonts w:eastAsiaTheme="minorHAnsi"/>
          <w:highlight w:val="white"/>
          <w:lang w:eastAsia="en-US"/>
        </w:rPr>
        <w:t xml:space="preserve"> </w:t>
      </w:r>
      <w:r>
        <w:rPr>
          <w:rFonts w:eastAsiaTheme="minorHAnsi"/>
          <w:highlight w:val="white"/>
          <w:lang w:eastAsia="en-US"/>
        </w:rPr>
        <w:t>в автономном округе по итогам третьего квартала 2024 года включала в себя 43 учреждения системы социальных служб автономного округа и 161 негосударственную организацию, оказывающую социальные услуги. О</w:t>
      </w:r>
      <w:r>
        <w:rPr>
          <w:highlight w:val="white"/>
        </w:rPr>
        <w:t>беспечено оказание 92 мер социальной поддержки, объем р</w:t>
      </w:r>
      <w:r>
        <w:rPr>
          <w:highlight w:val="white"/>
        </w:rPr>
        <w:t>асходов на их предоставление составил 40 366,4 млн рублей, что в 1,5 раза больше, чем за аналогичный период 2023 года (27 027,4 млн рублей)</w:t>
      </w:r>
      <w:r>
        <w:rPr>
          <w:rStyle w:val="af1"/>
          <w:highlight w:val="white"/>
        </w:rPr>
        <w:footnoteReference w:id="22"/>
      </w:r>
      <w:r>
        <w:rPr>
          <w:highlight w:val="white"/>
        </w:rPr>
        <w:t>.</w:t>
      </w:r>
    </w:p>
    <w:p w:rsidR="00DC1467" w:rsidRDefault="00B70D3E">
      <w:pPr>
        <w:shd w:val="clear" w:color="FFFFFF" w:themeColor="background1" w:fill="FFFFFF" w:themeFill="background1"/>
        <w:spacing w:line="274" w:lineRule="auto"/>
        <w:ind w:firstLine="709"/>
        <w:rPr>
          <w:rFonts w:eastAsiaTheme="minorHAnsi"/>
          <w:highlight w:val="white"/>
        </w:rPr>
      </w:pPr>
      <w:r>
        <w:rPr>
          <w:rFonts w:eastAsiaTheme="minorHAnsi"/>
          <w:i/>
          <w:highlight w:val="white"/>
          <w:lang w:eastAsia="en-US"/>
        </w:rPr>
        <w:t>Сеть образовательных организаций</w:t>
      </w:r>
      <w:r>
        <w:rPr>
          <w:rFonts w:eastAsiaTheme="minorHAnsi"/>
          <w:highlight w:val="white"/>
          <w:lang w:eastAsia="en-US"/>
        </w:rPr>
        <w:t xml:space="preserve"> представлена в Югре 772 организациями (354 организации дошкольной образовательной сети, включая общеобразовательные организации с дошкольными группами и филиалы, 323 общеобразовательных организации, 26 организаций среднего профессионального образования) с</w:t>
      </w:r>
      <w:r>
        <w:rPr>
          <w:rFonts w:eastAsiaTheme="minorHAnsi"/>
          <w:highlight w:val="white"/>
          <w:lang w:eastAsia="en-US"/>
        </w:rPr>
        <w:t xml:space="preserve"> общим количеством обучающихся (воспитанников) 400,3 тыс. человек. Численность работников списочного состава образовательных организаций составила 57,8 тыс. человек, из них 29,7 тыс. педагогических и научных работников</w:t>
      </w:r>
      <w:r>
        <w:rPr>
          <w:rStyle w:val="af1"/>
          <w:rFonts w:eastAsiaTheme="minorHAnsi"/>
          <w:highlight w:val="white"/>
          <w:lang w:eastAsia="en-US"/>
        </w:rPr>
        <w:footnoteReference w:id="23"/>
      </w:r>
      <w:r>
        <w:rPr>
          <w:rFonts w:eastAsiaTheme="minorHAnsi"/>
          <w:highlight w:val="white"/>
          <w:lang w:eastAsia="en-US"/>
        </w:rPr>
        <w:t xml:space="preserve">. </w:t>
      </w:r>
    </w:p>
    <w:p w:rsidR="00DC1467" w:rsidRDefault="00B70D3E">
      <w:pPr>
        <w:shd w:val="clear" w:color="FFFFFF" w:themeColor="background1" w:fill="FFFFFF" w:themeFill="background1"/>
        <w:spacing w:line="274" w:lineRule="auto"/>
        <w:ind w:firstLine="709"/>
        <w:rPr>
          <w:rFonts w:eastAsiaTheme="minorHAnsi"/>
          <w:highlight w:val="white"/>
        </w:rPr>
      </w:pPr>
      <w:r>
        <w:rPr>
          <w:rFonts w:eastAsiaTheme="minorHAnsi"/>
          <w:i/>
          <w:highlight w:val="white"/>
          <w:lang w:eastAsia="en-US"/>
        </w:rPr>
        <w:t>В сеть учреждений культуры автоном</w:t>
      </w:r>
      <w:r>
        <w:rPr>
          <w:rFonts w:eastAsiaTheme="minorHAnsi"/>
          <w:i/>
          <w:highlight w:val="white"/>
          <w:lang w:eastAsia="en-US"/>
        </w:rPr>
        <w:t>ного округа</w:t>
      </w:r>
      <w:r>
        <w:rPr>
          <w:rFonts w:eastAsiaTheme="minorHAnsi"/>
          <w:highlight w:val="white"/>
          <w:lang w:eastAsia="en-US"/>
        </w:rPr>
        <w:t xml:space="preserve"> входят 529 организаций, в их числе 218 общедоступных (публичных) библиотек, 202 организации культурно-досугового типа, 42 музея, 10 театров. </w:t>
      </w:r>
    </w:p>
    <w:p w:rsidR="00DC1467" w:rsidRDefault="00B70D3E">
      <w:pPr>
        <w:shd w:val="clear" w:color="FFFFFF" w:themeColor="background1" w:fill="FFFFFF" w:themeFill="background1"/>
        <w:spacing w:line="274" w:lineRule="auto"/>
        <w:ind w:firstLine="709"/>
        <w:rPr>
          <w:rFonts w:eastAsiaTheme="minorHAnsi"/>
          <w:highlight w:val="white"/>
        </w:rPr>
      </w:pPr>
      <w:r>
        <w:rPr>
          <w:rFonts w:eastAsiaTheme="minorHAnsi"/>
          <w:highlight w:val="white"/>
          <w:lang w:eastAsia="en-US"/>
        </w:rPr>
        <w:t>В январе-сентябре 2024 года в целях обеспечения прав граждан на доступ к культурным ценностям, сохране</w:t>
      </w:r>
      <w:r>
        <w:rPr>
          <w:rFonts w:eastAsiaTheme="minorHAnsi"/>
          <w:highlight w:val="white"/>
          <w:lang w:eastAsia="en-US"/>
        </w:rPr>
        <w:t xml:space="preserve">ния исторического и культурного наследия учреждениями клубного типа реализовано более 40,0 тыс. мероприятий различных направлений и форм с общим охватом зрительской аудитории 4,7 млн человек. </w:t>
      </w:r>
    </w:p>
    <w:p w:rsidR="00DC1467" w:rsidRDefault="00B70D3E">
      <w:pPr>
        <w:shd w:val="clear" w:color="FFFFFF" w:themeColor="background1" w:fill="FFFFFF" w:themeFill="background1"/>
        <w:spacing w:line="274" w:lineRule="auto"/>
        <w:ind w:firstLine="709"/>
        <w:rPr>
          <w:rFonts w:eastAsiaTheme="minorHAnsi"/>
          <w:highlight w:val="white"/>
        </w:rPr>
      </w:pPr>
      <w:r>
        <w:rPr>
          <w:rFonts w:eastAsiaTheme="minorHAnsi"/>
          <w:highlight w:val="white"/>
          <w:lang w:eastAsia="en-US"/>
        </w:rPr>
        <w:t>Переоснащены и дооборудованы 12 музеев в городах: Мегион, Югорс</w:t>
      </w:r>
      <w:r>
        <w:rPr>
          <w:rFonts w:eastAsiaTheme="minorHAnsi"/>
          <w:highlight w:val="white"/>
          <w:lang w:eastAsia="en-US"/>
        </w:rPr>
        <w:t>к, Нягань, Ханты-Мансийск и районах: Березовский, Нижневартовский, Сургутский. Открыто 12 модельных библиотек в городах: Мегион, Югорск, Нижневартовск, Покачи, Сургут и районах: Кондинский, Советский, Нефтеюганский, Белоярский</w:t>
      </w:r>
      <w:r>
        <w:rPr>
          <w:rStyle w:val="af1"/>
          <w:rFonts w:eastAsiaTheme="minorHAnsi"/>
          <w:highlight w:val="white"/>
          <w:lang w:eastAsia="en-US"/>
        </w:rPr>
        <w:footnoteReference w:id="24"/>
      </w:r>
      <w:r>
        <w:rPr>
          <w:rFonts w:eastAsiaTheme="minorHAnsi"/>
          <w:highlight w:val="white"/>
          <w:lang w:eastAsia="en-US"/>
        </w:rPr>
        <w:t>.</w:t>
      </w:r>
    </w:p>
    <w:p w:rsidR="00DC1467" w:rsidRDefault="00B70D3E">
      <w:pPr>
        <w:shd w:val="clear" w:color="FFFFFF" w:themeColor="background1" w:fill="FFFFFF" w:themeFill="background1"/>
        <w:spacing w:line="276" w:lineRule="auto"/>
        <w:ind w:firstLine="709"/>
        <w:contextualSpacing/>
        <w:rPr>
          <w:highlight w:val="white"/>
        </w:rPr>
      </w:pPr>
      <w:r>
        <w:rPr>
          <w:b/>
          <w:i/>
          <w:highlight w:val="white"/>
        </w:rPr>
        <w:lastRenderedPageBreak/>
        <w:t>Занятость и безработица.</w:t>
      </w:r>
      <w:r>
        <w:rPr>
          <w:b/>
          <w:highlight w:val="white"/>
        </w:rPr>
        <w:t xml:space="preserve"> </w:t>
      </w:r>
      <w:r>
        <w:rPr>
          <w:highlight w:val="white"/>
        </w:rPr>
        <w:t>Чи</w:t>
      </w:r>
      <w:r>
        <w:rPr>
          <w:highlight w:val="white"/>
        </w:rPr>
        <w:t>сленность рабочей силы, по данным выборочного обследования рабочей силы Росстата, в среднем за третий квартал 2024 года составила в Югре 940,2 тыс. человек, из которых 98,8 % были заняты в экономике (928,5 тыс. человек), остальные не имели занятия, но акти</w:t>
      </w:r>
      <w:r>
        <w:rPr>
          <w:highlight w:val="white"/>
        </w:rPr>
        <w:t>вно его искали и в соответствии с методологией Международной Организации Труда классифицировались как безработные.</w:t>
      </w:r>
    </w:p>
    <w:p w:rsidR="00DC1467" w:rsidRDefault="00B70D3E">
      <w:pPr>
        <w:shd w:val="clear" w:color="FFFFFF" w:themeColor="background1" w:fill="FFFFFF" w:themeFill="background1"/>
        <w:spacing w:line="276" w:lineRule="auto"/>
        <w:ind w:firstLine="709"/>
        <w:rPr>
          <w:highlight w:val="white"/>
        </w:rPr>
      </w:pPr>
      <w:r>
        <w:rPr>
          <w:highlight w:val="white"/>
        </w:rPr>
        <w:t>В 2024 году ситуация на рынке труда Югры характеризуется снижением показателей, отражающих общую безработицу. По данным обследования рабочей силы по методологии Международной организации труда, уровень безработицы в автономном округе по состоянию на 1 янва</w:t>
      </w:r>
      <w:r>
        <w:rPr>
          <w:highlight w:val="white"/>
        </w:rPr>
        <w:t>ря 2025 года составил 1,1 %, что на 0,6 процентных пункта меньше, чем в аналогичном периоде 2024 года (1,7 %), при этом показатель ниже, чем в целом по Российской Федерации (2,3 %) и Уральскому федеральному округу (1,6 %). Югра входит в 10 субъектов Россий</w:t>
      </w:r>
      <w:r>
        <w:rPr>
          <w:highlight w:val="white"/>
        </w:rPr>
        <w:t xml:space="preserve">ской Федерации с наилучшим показателем наряду с Ямало-Ненецким автономным округом, Республикой Удмуртией, Новгородской, Свердловской, Амурской, Нижегородской и Калужской областями, Хабаровским краем, городом Москвой. </w:t>
      </w:r>
    </w:p>
    <w:p w:rsidR="00DC1467" w:rsidRDefault="00B70D3E">
      <w:pPr>
        <w:shd w:val="clear" w:color="FFFFFF" w:themeColor="background1" w:fill="FFFFFF" w:themeFill="background1"/>
        <w:spacing w:line="276" w:lineRule="auto"/>
        <w:ind w:firstLine="709"/>
        <w:rPr>
          <w:highlight w:val="white"/>
        </w:rPr>
      </w:pPr>
      <w:r>
        <w:rPr>
          <w:highlight w:val="white"/>
        </w:rPr>
        <w:t>На регистрируемом рынке труда также на</w:t>
      </w:r>
      <w:r>
        <w:rPr>
          <w:highlight w:val="white"/>
        </w:rPr>
        <w:t>блюдается положительная динамика показателей. По итогам 2024 года численность безработных граждан, зарегистрированных в органах службы занятости населения автономного округа, составила 2 026 человек на 1 января 2025 года, что на 27,2 % меньше, чем годом ра</w:t>
      </w:r>
      <w:r>
        <w:rPr>
          <w:highlight w:val="white"/>
        </w:rPr>
        <w:t>нее – 2 784 человека на 1 января 2024 года.</w:t>
      </w:r>
    </w:p>
    <w:p w:rsidR="00DC1467" w:rsidRDefault="00B70D3E">
      <w:pPr>
        <w:shd w:val="clear" w:color="FFFFFF" w:themeColor="background1" w:fill="FFFFFF" w:themeFill="background1"/>
        <w:spacing w:line="276" w:lineRule="auto"/>
        <w:ind w:firstLine="709"/>
        <w:rPr>
          <w:highlight w:val="white"/>
        </w:rPr>
      </w:pPr>
      <w:r>
        <w:rPr>
          <w:highlight w:val="white"/>
        </w:rPr>
        <w:t xml:space="preserve">Уровень регистрируемой безработицы составил 0,22 % на 1 января 2025 года против 0,31 % на 1 января 2024 года. </w:t>
      </w:r>
    </w:p>
    <w:p w:rsidR="00DC1467" w:rsidRDefault="00B70D3E">
      <w:pPr>
        <w:shd w:val="clear" w:color="FFFFFF" w:themeColor="background1" w:fill="FFFFFF" w:themeFill="background1"/>
        <w:spacing w:line="276" w:lineRule="auto"/>
        <w:ind w:firstLine="709"/>
        <w:rPr>
          <w:highlight w:val="white"/>
        </w:rPr>
      </w:pPr>
      <w:r>
        <w:rPr>
          <w:highlight w:val="white"/>
        </w:rPr>
        <w:t>Заявленная работодателями потребность в работниках составила 16 640 свободных рабочих мест (вакантных</w:t>
      </w:r>
      <w:r>
        <w:rPr>
          <w:highlight w:val="white"/>
        </w:rPr>
        <w:t xml:space="preserve"> должностей), по сравнению с аналогичной датой прошлого года количество вакансий уменьшилось на 5 259 единиц или 24,0% (на 1 января 2024 года – 21 899 единиц).</w:t>
      </w:r>
    </w:p>
    <w:p w:rsidR="00DC1467" w:rsidRDefault="00B70D3E">
      <w:pPr>
        <w:shd w:val="clear" w:color="FFFFFF" w:themeColor="background1" w:fill="FFFFFF" w:themeFill="background1"/>
        <w:spacing w:line="276" w:lineRule="auto"/>
        <w:ind w:firstLine="708"/>
        <w:rPr>
          <w:highlight w:val="white"/>
        </w:rPr>
      </w:pPr>
      <w:r>
        <w:rPr>
          <w:highlight w:val="white"/>
        </w:rPr>
        <w:t>Коэффициент напряженности по округу на 1 января 2025 года составил 0,2 незанятых гражданина на 1</w:t>
      </w:r>
      <w:r>
        <w:rPr>
          <w:highlight w:val="white"/>
        </w:rPr>
        <w:t xml:space="preserve"> свободное рабочее место (на 1 января 2024 года – аналогичное значение).</w:t>
      </w:r>
    </w:p>
    <w:p w:rsidR="00DC1467" w:rsidRDefault="00B70D3E">
      <w:pPr>
        <w:shd w:val="clear" w:color="FFFFFF" w:themeColor="background1" w:fill="FFFFFF" w:themeFill="background1"/>
        <w:spacing w:line="276" w:lineRule="auto"/>
        <w:ind w:firstLine="709"/>
        <w:rPr>
          <w:highlight w:val="white"/>
        </w:rPr>
      </w:pPr>
      <w:r>
        <w:rPr>
          <w:rFonts w:eastAsia="Microsoft Sans Serif" w:cs="Microsoft Sans Serif"/>
          <w:color w:val="000000"/>
          <w:highlight w:val="white"/>
        </w:rPr>
        <w:t>В течение 2024 года за содействием в поиске подходящей работы в органы службы занятости населения автономного округа обратились 18 860 человек, что на 42,3 % меньше, чем годом ранее (</w:t>
      </w:r>
      <w:r>
        <w:rPr>
          <w:rFonts w:eastAsia="Microsoft Sans Serif" w:cs="Microsoft Sans Serif"/>
          <w:color w:val="000000"/>
          <w:highlight w:val="white"/>
        </w:rPr>
        <w:t xml:space="preserve">в 2023 году – 32 693 человека). </w:t>
      </w:r>
    </w:p>
    <w:p w:rsidR="00DC1467" w:rsidRDefault="00B70D3E">
      <w:pPr>
        <w:shd w:val="clear" w:color="FFFFFF" w:themeColor="background1" w:fill="FFFFFF" w:themeFill="background1"/>
        <w:spacing w:line="276" w:lineRule="auto"/>
        <w:ind w:firstLine="709"/>
        <w:rPr>
          <w:highlight w:val="white"/>
        </w:rPr>
      </w:pPr>
      <w:r>
        <w:rPr>
          <w:rFonts w:eastAsia="Microsoft Sans Serif" w:cs="Microsoft Sans Serif"/>
          <w:color w:val="000000"/>
          <w:highlight w:val="white"/>
        </w:rPr>
        <w:t xml:space="preserve">Численность граждан, признанных безработными в 2024 году, составила 6 463 человека и в сравнении с прошлым годом их численность снизилась на 23,1 % (в 2023 году – 8 405 человек). </w:t>
      </w:r>
    </w:p>
    <w:p w:rsidR="00DC1467" w:rsidRDefault="00B70D3E">
      <w:pPr>
        <w:shd w:val="clear" w:color="FFFFFF" w:themeColor="background1" w:fill="FFFFFF" w:themeFill="background1"/>
        <w:spacing w:line="276" w:lineRule="auto"/>
        <w:ind w:firstLine="709"/>
        <w:rPr>
          <w:highlight w:val="white"/>
        </w:rPr>
      </w:pPr>
      <w:r>
        <w:rPr>
          <w:highlight w:val="white"/>
        </w:rPr>
        <w:lastRenderedPageBreak/>
        <w:t>Из числа обратившихся в органы службы занят</w:t>
      </w:r>
      <w:r>
        <w:rPr>
          <w:highlight w:val="white"/>
        </w:rPr>
        <w:t>ости населения автономного округа за содействием в поиске подходящей работы трудоустроен 9 961 человек, или 47,2 % (в 2023 году – 21 784 человека и 66,6 % соответственно).</w:t>
      </w:r>
    </w:p>
    <w:p w:rsidR="00DC1467" w:rsidRDefault="00B70D3E">
      <w:pPr>
        <w:shd w:val="clear" w:color="FFFFFF" w:themeColor="background1" w:fill="FFFFFF" w:themeFill="background1"/>
        <w:spacing w:line="276" w:lineRule="auto"/>
        <w:ind w:firstLine="709"/>
        <w:rPr>
          <w:highlight w:val="white"/>
        </w:rPr>
      </w:pPr>
      <w:r>
        <w:rPr>
          <w:rFonts w:eastAsia="Microsoft Sans Serif" w:cs="Microsoft Sans Serif"/>
          <w:color w:val="000000"/>
          <w:highlight w:val="white"/>
        </w:rPr>
        <w:t>На начало 2025 года в органах службы занятости населения Югры зарегистрировано 2 026</w:t>
      </w:r>
      <w:r>
        <w:rPr>
          <w:rFonts w:eastAsia="Microsoft Sans Serif" w:cs="Microsoft Sans Serif"/>
          <w:color w:val="000000"/>
          <w:highlight w:val="white"/>
        </w:rPr>
        <w:t xml:space="preserve"> безработных граждан. </w:t>
      </w:r>
      <w:r>
        <w:rPr>
          <w:rFonts w:eastAsia="Microsoft Sans Serif" w:cs="Microsoft Sans Serif"/>
          <w:bCs/>
          <w:color w:val="000000"/>
          <w:highlight w:val="white"/>
        </w:rPr>
        <w:t xml:space="preserve">В их структуре женщины составляют 63,1 %; среди представителей различных возрастных групп, как и прежде, преобладают граждане в возрасте 30-49 лет (64,8 %). </w:t>
      </w:r>
    </w:p>
    <w:p w:rsidR="00DC1467" w:rsidRDefault="00B70D3E">
      <w:pPr>
        <w:shd w:val="clear" w:color="FFFFFF" w:themeColor="background1" w:fill="FFFFFF" w:themeFill="background1"/>
        <w:spacing w:line="276" w:lineRule="auto"/>
        <w:ind w:firstLine="709"/>
        <w:rPr>
          <w:highlight w:val="white"/>
        </w:rPr>
      </w:pPr>
      <w:r>
        <w:rPr>
          <w:rFonts w:eastAsia="Microsoft Sans Serif" w:cs="Microsoft Sans Serif"/>
          <w:color w:val="000000"/>
          <w:highlight w:val="white"/>
        </w:rPr>
        <w:t xml:space="preserve">Средняя продолжительность периода безработицы по округу на начало 2025 года </w:t>
      </w:r>
      <w:r>
        <w:rPr>
          <w:rFonts w:eastAsia="Microsoft Sans Serif" w:cs="Microsoft Sans Serif"/>
          <w:color w:val="000000"/>
          <w:highlight w:val="white"/>
        </w:rPr>
        <w:t>составила 3,6 месяца, что соответствует уровню показателя на начало 2024 года</w:t>
      </w:r>
      <w:r>
        <w:rPr>
          <w:rStyle w:val="af1"/>
          <w:highlight w:val="white"/>
        </w:rPr>
        <w:footnoteReference w:id="25"/>
      </w:r>
      <w:r>
        <w:rPr>
          <w:rFonts w:eastAsia="Microsoft Sans Serif" w:cs="Microsoft Sans Serif"/>
          <w:color w:val="000000"/>
          <w:highlight w:val="white"/>
        </w:rPr>
        <w:t>.</w:t>
      </w:r>
    </w:p>
    <w:p w:rsidR="00DC1467" w:rsidRDefault="00B70D3E">
      <w:pPr>
        <w:shd w:val="clear" w:color="FFFFFF" w:themeColor="background1" w:fill="FFFFFF" w:themeFill="background1"/>
        <w:spacing w:line="276" w:lineRule="auto"/>
        <w:ind w:firstLine="709"/>
        <w:rPr>
          <w:highlight w:val="white"/>
        </w:rPr>
      </w:pPr>
      <w:r>
        <w:rPr>
          <w:b/>
          <w:i/>
          <w:highlight w:val="white"/>
        </w:rPr>
        <w:t xml:space="preserve">Миграция населения. </w:t>
      </w:r>
      <w:r>
        <w:rPr>
          <w:highlight w:val="white"/>
        </w:rPr>
        <w:t>По итогам 2023 года миграционный прирост населения Югры составил 21,0 тыс. человек (в 2022 году – 8,7 тыс. человек, в 2021 году – 9,3 тыс. человек, в 2020 г</w:t>
      </w:r>
      <w:r>
        <w:rPr>
          <w:highlight w:val="white"/>
        </w:rPr>
        <w:t>оду – 5,5 тыс. человек), в основном за счет передвижений</w:t>
      </w:r>
      <w:r>
        <w:rPr>
          <w:rStyle w:val="af1"/>
          <w:highlight w:val="white"/>
          <w:vertAlign w:val="baseline"/>
        </w:rPr>
        <w:t xml:space="preserve"> </w:t>
      </w:r>
      <w:r>
        <w:rPr>
          <w:highlight w:val="white"/>
        </w:rPr>
        <w:t>граждан из государств-участников СНГ (14 239 человек) и в пределах России (6775</w:t>
      </w:r>
      <w:r>
        <w:rPr>
          <w:rStyle w:val="af1"/>
          <w:highlight w:val="white"/>
          <w:vertAlign w:val="baseline"/>
        </w:rPr>
        <w:t xml:space="preserve"> </w:t>
      </w:r>
      <w:r>
        <w:rPr>
          <w:highlight w:val="white"/>
        </w:rPr>
        <w:t>человек)</w:t>
      </w:r>
      <w:r>
        <w:rPr>
          <w:rStyle w:val="af1"/>
          <w:highlight w:val="white"/>
        </w:rPr>
        <w:footnoteReference w:id="26"/>
      </w:r>
      <w:r>
        <w:rPr>
          <w:highlight w:val="white"/>
        </w:rPr>
        <w:t>. Регион привлекателен для переезда, что подтверждается миграцией трудоспособного населения. В структуре мигра</w:t>
      </w:r>
      <w:r>
        <w:rPr>
          <w:highlight w:val="white"/>
        </w:rPr>
        <w:t>ционного прироста по итогам 2023 года основная доля (60,1 %) приходится на население трудоспособного возраста, доля лиц младше трудоспособного населения составила 32,1 %, на миграцию населения старше трудоспособного возраста приходится 7,8 %. Миграционному</w:t>
      </w:r>
      <w:r>
        <w:rPr>
          <w:highlight w:val="white"/>
        </w:rPr>
        <w:t xml:space="preserve"> приросту способствует низкий уровень безработицы и инфляции по сравнению с другими регионами Российской Федерации, а также высокая оплата труда работников и дополнительные меры социальной поддержки. </w:t>
      </w:r>
    </w:p>
    <w:p w:rsidR="00DC1467" w:rsidRDefault="00B70D3E">
      <w:pPr>
        <w:shd w:val="clear" w:color="FFFFFF" w:themeColor="background1" w:fill="FFFFFF" w:themeFill="background1"/>
        <w:spacing w:line="276" w:lineRule="auto"/>
        <w:ind w:firstLine="709"/>
        <w:rPr>
          <w:highlight w:val="white"/>
        </w:rPr>
      </w:pPr>
      <w:r>
        <w:rPr>
          <w:highlight w:val="white"/>
        </w:rPr>
        <w:t xml:space="preserve">Коэффициент миграционной прибыли на 10 000 населения в </w:t>
      </w:r>
      <w:r>
        <w:rPr>
          <w:highlight w:val="white"/>
        </w:rPr>
        <w:t xml:space="preserve">2023 году составил 120,6 (в 2022 году коэффициент миграционной прибыли составил 50,4). </w:t>
      </w:r>
    </w:p>
    <w:p w:rsidR="00DC1467" w:rsidRDefault="00B70D3E">
      <w:pPr>
        <w:shd w:val="clear" w:color="FFFFFF" w:themeColor="background1" w:fill="FFFFFF" w:themeFill="background1"/>
        <w:spacing w:line="276" w:lineRule="auto"/>
        <w:ind w:firstLine="709"/>
        <w:rPr>
          <w:highlight w:val="white"/>
        </w:rPr>
      </w:pPr>
      <w:r>
        <w:rPr>
          <w:highlight w:val="white"/>
        </w:rPr>
        <w:t>По состоянию на 1 января 2024 года в автономном округе фактически значились состоящими на миграционном учете 40 870 иностранных граждан (2022 год – 54 258; -25 %). Осно</w:t>
      </w:r>
      <w:r>
        <w:rPr>
          <w:highlight w:val="white"/>
        </w:rPr>
        <w:t xml:space="preserve">вной миграционный поток приходился на граждан стран СНГ, что в количественном выражении составляет 98,3 % </w:t>
      </w:r>
      <w:r>
        <w:rPr>
          <w:highlight w:val="white"/>
        </w:rPr>
        <w:br/>
        <w:t>(68 222) от общего числа иностранных граждан, поставленных на миграционный учет первично (69 669). Подавляющее большинство лиц, прибывших на территор</w:t>
      </w:r>
      <w:r>
        <w:rPr>
          <w:highlight w:val="white"/>
        </w:rPr>
        <w:t xml:space="preserve">ию автономного округа, составляют выходцы из Республик Таджикистан – 44 % (29 805) и Узбекистан – 27 % (18 209). Среди иностранных граждан, въехавших на основании визы, преобладают </w:t>
      </w:r>
      <w:r>
        <w:rPr>
          <w:highlight w:val="white"/>
        </w:rPr>
        <w:lastRenderedPageBreak/>
        <w:t>прибывшие из Китая (489), Индии (109), Грузии (87), Турции (77), Германии (</w:t>
      </w:r>
      <w:r>
        <w:rPr>
          <w:highlight w:val="white"/>
        </w:rPr>
        <w:t xml:space="preserve">60) и Сербии (59). По результатам 2023 года имела место тенденция увеличения числа иностранных граждан и лиц без гражданства, оформивших визы на въезд в Российскую Федерацию (2022 год – 203; 2023 год – 280; +37,9 %) и приглашения (2022 год – 152; 2023 год </w:t>
      </w:r>
      <w:r>
        <w:rPr>
          <w:highlight w:val="white"/>
        </w:rPr>
        <w:t>– 186; +22,4 %). Сократилось количество лиц, приобретших гражданство Российской Федерации (2022 год – 17 153 человека; 2023 год – 16 280; -5,1 %), в том числе в упрощенном порядке – 16 202 (2022 год – 17 064; -5 %). Удостоверено наличие гражданства Российс</w:t>
      </w:r>
      <w:r>
        <w:rPr>
          <w:highlight w:val="white"/>
        </w:rPr>
        <w:t xml:space="preserve">кой Федерации у 4 563 детей (2022 год – 6 211; -26 %). В рамках реализации Государственной программы по оказанию содействия добровольному переселению в Российскую Федерацию соотечественников, проживающих за рубежом, принято к рассмотрению 763 заявления об </w:t>
      </w:r>
      <w:r>
        <w:rPr>
          <w:highlight w:val="white"/>
        </w:rPr>
        <w:t>участии в Государственной программе (2022 год – 795; -4 %), оформлено 446 свидетельств участника Программы (2022 год – 575; -22 %). В течение 2023 года на территорию автономного округа переселилось 1 038 соотечественников и членов их семей (2022 год – 1 28</w:t>
      </w:r>
      <w:r>
        <w:rPr>
          <w:highlight w:val="white"/>
        </w:rPr>
        <w:t xml:space="preserve">7; </w:t>
      </w:r>
      <w:r>
        <w:rPr>
          <w:highlight w:val="white"/>
        </w:rPr>
        <w:br/>
        <w:t>-19,3 %)</w:t>
      </w:r>
      <w:r>
        <w:rPr>
          <w:rStyle w:val="af1"/>
          <w:highlight w:val="white"/>
        </w:rPr>
        <w:footnoteReference w:id="27"/>
      </w:r>
      <w:r>
        <w:rPr>
          <w:highlight w:val="white"/>
        </w:rPr>
        <w:t>.</w:t>
      </w:r>
    </w:p>
    <w:p w:rsidR="00DC1467" w:rsidRDefault="00DC1467">
      <w:pPr>
        <w:shd w:val="clear" w:color="FFFFFF" w:themeColor="background1" w:fill="FFFFFF" w:themeFill="background1"/>
        <w:spacing w:line="276" w:lineRule="auto"/>
        <w:ind w:firstLine="709"/>
        <w:rPr>
          <w:highlight w:val="white"/>
        </w:rPr>
      </w:pPr>
    </w:p>
    <w:p w:rsidR="00DC1467" w:rsidRDefault="00DC1467">
      <w:pPr>
        <w:shd w:val="clear" w:color="FFFFFF" w:themeColor="background1" w:fill="FFFFFF" w:themeFill="background1"/>
        <w:tabs>
          <w:tab w:val="left" w:pos="9540"/>
        </w:tabs>
        <w:spacing w:line="276" w:lineRule="auto"/>
        <w:ind w:firstLine="709"/>
        <w:rPr>
          <w:highlight w:val="white"/>
        </w:rPr>
      </w:pPr>
    </w:p>
    <w:p w:rsidR="00DC1467" w:rsidRDefault="00DC14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0"/>
        <w:jc w:val="left"/>
        <w:outlineLvl w:val="1"/>
        <w:rPr>
          <w:b/>
          <w:color w:val="FF0000"/>
          <w:highlight w:val="yellow"/>
        </w:rPr>
        <w:sectPr w:rsidR="00DC1467">
          <w:headerReference w:type="default" r:id="rId10"/>
          <w:headerReference w:type="first" r:id="rId11"/>
          <w:footerReference w:type="first" r:id="rId12"/>
          <w:pgSz w:w="11906" w:h="16838"/>
          <w:pgMar w:top="1134" w:right="851" w:bottom="1134" w:left="1701" w:header="709" w:footer="709" w:gutter="0"/>
          <w:cols w:space="708"/>
          <w:docGrid w:linePitch="360"/>
        </w:sectPr>
      </w:pPr>
    </w:p>
    <w:p w:rsidR="00DC1467" w:rsidRDefault="00B70D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outlineLvl w:val="1"/>
        <w:rPr>
          <w:b/>
        </w:rPr>
      </w:pPr>
      <w:r>
        <w:rPr>
          <w:b/>
        </w:rPr>
        <w:lastRenderedPageBreak/>
        <w:t>2. Анализ уровня и структуры потребления наркотиков в немедицинских целях на основании статистических данных, аналитических справок и социологических исследований</w:t>
      </w:r>
    </w:p>
    <w:p w:rsidR="00DC1467" w:rsidRDefault="00DC1467">
      <w:pPr>
        <w:pStyle w:val="af5"/>
        <w:spacing w:after="0" w:line="276" w:lineRule="auto"/>
        <w:ind w:firstLine="709"/>
        <w:jc w:val="both"/>
        <w:rPr>
          <w:b/>
          <w:sz w:val="28"/>
          <w:szCs w:val="28"/>
        </w:rPr>
      </w:pPr>
    </w:p>
    <w:p w:rsidR="00DC1467" w:rsidRDefault="00B70D3E">
      <w:pPr>
        <w:pStyle w:val="af5"/>
        <w:spacing w:after="0" w:line="276" w:lineRule="auto"/>
        <w:ind w:firstLine="709"/>
        <w:rPr>
          <w:b/>
          <w:i/>
          <w:sz w:val="28"/>
          <w:szCs w:val="28"/>
        </w:rPr>
      </w:pPr>
      <w:r>
        <w:rPr>
          <w:b/>
          <w:i/>
          <w:sz w:val="28"/>
          <w:szCs w:val="28"/>
        </w:rPr>
        <w:t>Анализ динамики болезненности наркоманией</w:t>
      </w:r>
    </w:p>
    <w:p w:rsidR="00DC1467" w:rsidRDefault="00B70D3E">
      <w:pPr>
        <w:pStyle w:val="af5"/>
        <w:spacing w:after="0" w:line="276" w:lineRule="auto"/>
        <w:ind w:firstLine="709"/>
        <w:jc w:val="both"/>
        <w:rPr>
          <w:sz w:val="28"/>
          <w:szCs w:val="28"/>
        </w:rPr>
      </w:pPr>
      <w:r>
        <w:rPr>
          <w:sz w:val="28"/>
          <w:szCs w:val="28"/>
        </w:rPr>
        <w:t xml:space="preserve">Мероприятия по противодействию незаконному обороту наркотиков и распространению наркомании, проводимые на территории </w:t>
      </w:r>
      <w:r>
        <w:rPr>
          <w:sz w:val="28"/>
          <w:szCs w:val="28"/>
        </w:rPr>
        <w:br/>
        <w:t>Ханты-Мансийского автономного округа – Югры субъектами антинаркотической деятельности, оказывают положительное влияние на динамику наркоси</w:t>
      </w:r>
      <w:r>
        <w:rPr>
          <w:sz w:val="28"/>
          <w:szCs w:val="28"/>
        </w:rPr>
        <w:t>туации:</w:t>
      </w:r>
    </w:p>
    <w:p w:rsidR="00DC1467" w:rsidRDefault="00B70D3E">
      <w:pPr>
        <w:pStyle w:val="af5"/>
        <w:tabs>
          <w:tab w:val="left" w:pos="993"/>
        </w:tabs>
        <w:spacing w:after="0" w:line="276" w:lineRule="auto"/>
        <w:ind w:firstLine="709"/>
        <w:jc w:val="both"/>
        <w:rPr>
          <w:sz w:val="28"/>
          <w:szCs w:val="28"/>
        </w:rPr>
      </w:pPr>
      <w:r>
        <w:rPr>
          <w:sz w:val="28"/>
          <w:szCs w:val="28"/>
        </w:rPr>
        <w:t>сократилась общая численность зарегистрированных медицинскими организациями потребителей наркотиков с синдромом зависимости, однако незначительно увеличилась среди лиц с пагубным употреблением наркотиков;</w:t>
      </w:r>
    </w:p>
    <w:p w:rsidR="00DC1467" w:rsidRDefault="00B70D3E">
      <w:pPr>
        <w:pStyle w:val="af5"/>
        <w:tabs>
          <w:tab w:val="left" w:pos="993"/>
        </w:tabs>
        <w:spacing w:after="0" w:line="276" w:lineRule="auto"/>
        <w:ind w:firstLine="709"/>
        <w:jc w:val="both"/>
        <w:rPr>
          <w:sz w:val="28"/>
          <w:szCs w:val="28"/>
        </w:rPr>
      </w:pPr>
      <w:r>
        <w:rPr>
          <w:sz w:val="28"/>
          <w:szCs w:val="28"/>
        </w:rPr>
        <w:t>сократилась общая численность состоящих под</w:t>
      </w:r>
      <w:r>
        <w:rPr>
          <w:sz w:val="28"/>
          <w:szCs w:val="28"/>
        </w:rPr>
        <w:t xml:space="preserve"> наблюдением врача-психиатра-нарколога потребителей наркотиков как с синдромом зависимости, так и с пагубным употреблением наркотиков.</w:t>
      </w:r>
    </w:p>
    <w:p w:rsidR="00DC1467" w:rsidRDefault="00B70D3E">
      <w:pPr>
        <w:pStyle w:val="af5"/>
        <w:tabs>
          <w:tab w:val="left" w:pos="993"/>
        </w:tabs>
        <w:spacing w:after="0" w:line="276" w:lineRule="auto"/>
        <w:ind w:firstLine="709"/>
        <w:jc w:val="both"/>
        <w:rPr>
          <w:sz w:val="28"/>
          <w:szCs w:val="28"/>
        </w:rPr>
      </w:pPr>
      <w:r>
        <w:rPr>
          <w:sz w:val="28"/>
          <w:szCs w:val="28"/>
        </w:rPr>
        <w:t xml:space="preserve">Распространенность наркомании (общее количество зарегистрированных больных с наркоманией) в Югре снизилась (см. рис. 1), </w:t>
      </w:r>
      <w:r>
        <w:rPr>
          <w:sz w:val="28"/>
          <w:szCs w:val="28"/>
        </w:rPr>
        <w:t xml:space="preserve">в 2024 году показатель составил 92,9 на 100 тыс. населения (абс. 1634), в 2023 году 96,6 на 100 тыс. населения (абс. 1686), снижение составило 3,7 %. </w:t>
      </w:r>
    </w:p>
    <w:p w:rsidR="00DC1467" w:rsidRDefault="00B70D3E">
      <w:pPr>
        <w:pStyle w:val="af5"/>
        <w:spacing w:after="0"/>
        <w:ind w:firstLine="0"/>
        <w:jc w:val="center"/>
        <w:rPr>
          <w:sz w:val="28"/>
          <w:szCs w:val="28"/>
        </w:rPr>
      </w:pPr>
      <w:r>
        <w:rPr>
          <w:noProof/>
          <w:sz w:val="28"/>
          <w:szCs w:val="28"/>
        </w:rPr>
        <mc:AlternateContent>
          <mc:Choice Requires="wpg">
            <w:drawing>
              <wp:inline distT="0" distB="0" distL="0" distR="0">
                <wp:extent cx="5470185" cy="2174519"/>
                <wp:effectExtent l="6350" t="6350" r="6350" b="6350"/>
                <wp:docPr id="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a:blip r:embed="rId13"/>
                        <a:stretch/>
                      </pic:blipFill>
                      <pic:spPr bwMode="auto">
                        <a:xfrm>
                          <a:off x="0" y="0"/>
                          <a:ext cx="5470184" cy="2174519"/>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430.72pt;height:171.22pt;mso-wrap-distance-left:0.00pt;mso-wrap-distance-top:0.00pt;mso-wrap-distance-right:0.00pt;mso-wrap-distance-bottom:0.00pt;" stroked="f">
                <v:path textboxrect="0,0,0,0"/>
                <v:imagedata r:id="rId20" o:title=""/>
              </v:shape>
            </w:pict>
          </mc:Fallback>
        </mc:AlternateContent>
      </w:r>
    </w:p>
    <w:p w:rsidR="00DC1467" w:rsidRDefault="00B70D3E">
      <w:pPr>
        <w:pStyle w:val="af5"/>
        <w:spacing w:after="0"/>
        <w:ind w:firstLine="0"/>
        <w:jc w:val="center"/>
        <w:rPr>
          <w:sz w:val="28"/>
          <w:szCs w:val="28"/>
        </w:rPr>
      </w:pPr>
      <w:r>
        <w:rPr>
          <w:sz w:val="28"/>
          <w:szCs w:val="28"/>
        </w:rPr>
        <w:t xml:space="preserve">Рис.1. Динамика показателя болезненности наркоманией в 2020-2024 гг. </w:t>
      </w:r>
    </w:p>
    <w:p w:rsidR="00DC1467" w:rsidRDefault="00B70D3E">
      <w:pPr>
        <w:pStyle w:val="af5"/>
        <w:spacing w:after="0"/>
        <w:ind w:firstLine="0"/>
        <w:jc w:val="center"/>
        <w:rPr>
          <w:sz w:val="28"/>
          <w:szCs w:val="28"/>
        </w:rPr>
      </w:pPr>
      <w:r>
        <w:rPr>
          <w:sz w:val="28"/>
          <w:szCs w:val="28"/>
        </w:rPr>
        <w:t>(на 100 тыс. населения)</w:t>
      </w:r>
    </w:p>
    <w:p w:rsidR="00DC1467" w:rsidRDefault="00DC1467">
      <w:pPr>
        <w:pStyle w:val="af"/>
        <w:jc w:val="both"/>
        <w:rPr>
          <w:rFonts w:ascii="Times New Roman" w:hAnsi="Times New Roman"/>
        </w:rPr>
      </w:pPr>
    </w:p>
    <w:p w:rsidR="00DC1467" w:rsidRDefault="00DC1467">
      <w:pPr>
        <w:pStyle w:val="af5"/>
        <w:spacing w:after="0" w:line="276" w:lineRule="auto"/>
        <w:ind w:firstLine="709"/>
        <w:jc w:val="both"/>
        <w:rPr>
          <w:sz w:val="28"/>
          <w:szCs w:val="28"/>
        </w:rPr>
      </w:pPr>
    </w:p>
    <w:p w:rsidR="00DC1467" w:rsidRDefault="00B70D3E">
      <w:pPr>
        <w:pStyle w:val="af5"/>
        <w:spacing w:after="0" w:line="276" w:lineRule="auto"/>
        <w:ind w:firstLine="709"/>
        <w:jc w:val="both"/>
        <w:rPr>
          <w:sz w:val="28"/>
          <w:szCs w:val="28"/>
        </w:rPr>
      </w:pPr>
      <w:r>
        <w:rPr>
          <w:sz w:val="28"/>
          <w:szCs w:val="28"/>
        </w:rPr>
        <w:t>Для сравнения, показатель болезненности наркоманией в Российской Федерации за 2022 год</w:t>
      </w:r>
      <w:bookmarkStart w:id="1" w:name="_Ref189598293"/>
      <w:r>
        <w:rPr>
          <w:rStyle w:val="af1"/>
          <w:sz w:val="28"/>
          <w:szCs w:val="28"/>
        </w:rPr>
        <w:footnoteReference w:id="28"/>
      </w:r>
      <w:bookmarkEnd w:id="1"/>
      <w:r>
        <w:rPr>
          <w:sz w:val="28"/>
          <w:szCs w:val="28"/>
        </w:rPr>
        <w:t xml:space="preserve"> составляет 157,8 на 100 тыс. населения, по Уральскому Федеральному округу в 2022 году – 168,0 на 100 тыс. населения. </w:t>
      </w:r>
    </w:p>
    <w:p w:rsidR="00DC1467" w:rsidRDefault="00B70D3E">
      <w:pPr>
        <w:pStyle w:val="af5"/>
        <w:spacing w:after="0" w:line="276" w:lineRule="auto"/>
        <w:ind w:firstLine="709"/>
        <w:jc w:val="both"/>
        <w:rPr>
          <w:sz w:val="28"/>
          <w:szCs w:val="28"/>
        </w:rPr>
      </w:pPr>
      <w:r>
        <w:rPr>
          <w:sz w:val="28"/>
          <w:szCs w:val="28"/>
        </w:rPr>
        <w:lastRenderedPageBreak/>
        <w:t>В разрезе муниципальных образований (см. рис. 2) у</w:t>
      </w:r>
      <w:r>
        <w:rPr>
          <w:sz w:val="28"/>
          <w:szCs w:val="28"/>
        </w:rPr>
        <w:t>ровень болезненности наркоманией в 2024 году имеет тенденцию к увеличению на территории г. Ханты-Мансийска на 17,2 %, что составило 173,6 на 100 тыс. населения (абс. 194; в 2023 г. – 148,1 на 100 тыс. населения, абс. 164); на территории г. Сургута – на 3,4</w:t>
      </w:r>
      <w:r>
        <w:rPr>
          <w:sz w:val="28"/>
          <w:szCs w:val="28"/>
        </w:rPr>
        <w:t xml:space="preserve"> %, что составило 78,0 на 100 тыс. населения (абс. 328; в 2023 г. – 75,4 на 100 тыс. населения, абс. 311); на территории Сургутского района – на 8,5 %, что составило 89,3 на 100 тыс. населения (абс. 115; в 2023 г. – 82,3 на 100 тыс. населения, абс. 105) и </w:t>
      </w:r>
      <w:r>
        <w:rPr>
          <w:sz w:val="28"/>
          <w:szCs w:val="28"/>
        </w:rPr>
        <w:t>на территории Ханты-Мансийского района – на 21,7 %, что составило 57,8 на 100 тыс. населения (абс. 11; в 2023 г. – 47,5 на 100 тыс. населения, абс. 9). В городах Когалым и Покачи и в Октябрьском районе в связи с увеличением численности населения при сохран</w:t>
      </w:r>
      <w:r>
        <w:rPr>
          <w:sz w:val="28"/>
          <w:szCs w:val="28"/>
        </w:rPr>
        <w:t>ении числа зарегистрированных лиц с наркоманией на уровне 2023 года отмечается снижение болезненности наркоманией соответственно на 0,9 % (в 2024 г. – 31,3 на 100 тыс. населения, в 2023 г. – 31,6 на 100 тыс. населения), на 1,6 % (в 2024 г. – 6,0 на 100 тыс</w:t>
      </w:r>
      <w:r>
        <w:rPr>
          <w:sz w:val="28"/>
          <w:szCs w:val="28"/>
        </w:rPr>
        <w:t>. населения, в 2023 г. – 6,1 на 100 тыс. населения) и на 1,4 % (в 2024 г. – 7,2 на 100 тыс. населения, в 2023 г. – 7,3 на 100 тыс. населения). В Белоярском и Кондинском районах сохраняется болезненность наркоманией на уровне 2023 года (7,0 на 100 тыс. насе</w:t>
      </w:r>
      <w:r>
        <w:rPr>
          <w:sz w:val="28"/>
          <w:szCs w:val="28"/>
        </w:rPr>
        <w:t>ления, абс. 2 для Белоярского района и 9,9 на 100 тыс. населения, абс. 2 для Кондинского района). В других муниципальных образованиях автономного округа отмечается снижение уровня болезненности наркоманией.</w:t>
      </w:r>
    </w:p>
    <w:p w:rsidR="00DC1467" w:rsidRDefault="00B70D3E">
      <w:pPr>
        <w:pStyle w:val="af5"/>
        <w:spacing w:after="0" w:line="276" w:lineRule="auto"/>
        <w:ind w:firstLine="709"/>
        <w:jc w:val="both"/>
        <w:rPr>
          <w:sz w:val="28"/>
          <w:szCs w:val="28"/>
        </w:rPr>
      </w:pPr>
      <w:r>
        <w:rPr>
          <w:sz w:val="28"/>
          <w:szCs w:val="28"/>
        </w:rPr>
        <w:t>В то же время отмечается превышение уровня окружн</w:t>
      </w:r>
      <w:r>
        <w:rPr>
          <w:sz w:val="28"/>
          <w:szCs w:val="28"/>
        </w:rPr>
        <w:t>ого показателя болезненности наркоманией в г. Югорске и в Советском районе в 2,3 раза, который составляет 211,6 и 212,9 на 100 тыс. населения соответственно (в абсолютных значениях – 83 и 99 случаев); в г. Ханты-Мансийске в 1,9 раза и составляет 173,6 на 1</w:t>
      </w:r>
      <w:r>
        <w:rPr>
          <w:sz w:val="28"/>
          <w:szCs w:val="28"/>
        </w:rPr>
        <w:t>00 тыс. населения (абс. 194); в г. Пыть-Яхе в 1,7 раза и составляет 155,4 на 100 тыс. населения (абс. 63), а также в городах Нижневартовск (на 50,1 %), Мегион (на 15,4 %) и Нягань (на 6,9 %).</w:t>
      </w:r>
    </w:p>
    <w:p w:rsidR="00DC1467" w:rsidRDefault="00B70D3E">
      <w:pPr>
        <w:pStyle w:val="af5"/>
        <w:spacing w:after="0"/>
        <w:ind w:firstLine="0"/>
        <w:jc w:val="center"/>
        <w:rPr>
          <w:sz w:val="28"/>
          <w:szCs w:val="28"/>
        </w:rPr>
      </w:pPr>
      <w:r>
        <w:rPr>
          <w:noProof/>
          <w:sz w:val="28"/>
          <w:szCs w:val="28"/>
        </w:rPr>
        <w:lastRenderedPageBreak/>
        <mc:AlternateContent>
          <mc:Choice Requires="wpg">
            <w:drawing>
              <wp:inline distT="0" distB="0" distL="0" distR="0">
                <wp:extent cx="5911899" cy="3095625"/>
                <wp:effectExtent l="0" t="0" r="0" b="0"/>
                <wp:docPr id="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21"/>
                        <a:stretch/>
                      </pic:blipFill>
                      <pic:spPr bwMode="auto">
                        <a:xfrm>
                          <a:off x="0" y="0"/>
                          <a:ext cx="6054563" cy="3170328"/>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width:465.50pt;height:243.75pt;mso-wrap-distance-left:0.00pt;mso-wrap-distance-top:0.00pt;mso-wrap-distance-right:0.00pt;mso-wrap-distance-bottom:0.00pt;" stroked="f">
                <v:path textboxrect="0,0,0,0"/>
                <v:imagedata r:id="rId22" o:title=""/>
              </v:shape>
            </w:pict>
          </mc:Fallback>
        </mc:AlternateContent>
      </w:r>
    </w:p>
    <w:p w:rsidR="00DC1467" w:rsidRDefault="00B70D3E">
      <w:pPr>
        <w:spacing w:line="240" w:lineRule="auto"/>
        <w:jc w:val="center"/>
      </w:pPr>
      <w:r>
        <w:t>Рис. 2. Болезненность наркоманией в 2023-2024 гг. в разрезе му</w:t>
      </w:r>
      <w:r>
        <w:t>ниципальных территорий (на 100 тыс. населения)</w:t>
      </w:r>
    </w:p>
    <w:p w:rsidR="00DC1467" w:rsidRDefault="00DC1467">
      <w:pPr>
        <w:spacing w:line="276" w:lineRule="auto"/>
        <w:ind w:firstLine="709"/>
      </w:pPr>
    </w:p>
    <w:p w:rsidR="00DC1467" w:rsidRDefault="00B70D3E">
      <w:pPr>
        <w:pStyle w:val="af5"/>
        <w:spacing w:after="0" w:line="276" w:lineRule="auto"/>
        <w:ind w:firstLine="709"/>
        <w:jc w:val="both"/>
        <w:rPr>
          <w:sz w:val="28"/>
          <w:szCs w:val="28"/>
        </w:rPr>
      </w:pPr>
      <w:r>
        <w:rPr>
          <w:sz w:val="28"/>
          <w:szCs w:val="28"/>
        </w:rPr>
        <w:t>В структуре болезненности (см. рис. 3) 58,0 % наркозависимых лиц имеют диагноз полинаркомании (потребление других наркотиков и их сочетаний) (2023 г. – 55,2 %), 25,5 % – зависимость от употребления опиоидов (</w:t>
      </w:r>
      <w:r>
        <w:rPr>
          <w:sz w:val="28"/>
          <w:szCs w:val="28"/>
        </w:rPr>
        <w:t xml:space="preserve">2023 г. – 28,5 %), 10,1 % – с зависимостью от других психостимуляторов и 6,5 % – с зависимостью от каннабиноидов (в 2023 г. – 9,6 % и 6,7 % соответственно). </w:t>
      </w:r>
    </w:p>
    <w:p w:rsidR="00DC1467" w:rsidRDefault="00B70D3E">
      <w:pPr>
        <w:pStyle w:val="af5"/>
        <w:spacing w:after="0"/>
        <w:ind w:firstLine="0"/>
        <w:jc w:val="both"/>
        <w:rPr>
          <w:sz w:val="28"/>
          <w:szCs w:val="28"/>
        </w:rPr>
      </w:pPr>
      <w:r>
        <w:rPr>
          <w:noProof/>
          <w:sz w:val="28"/>
          <w:szCs w:val="28"/>
        </w:rPr>
        <mc:AlternateContent>
          <mc:Choice Requires="wpg">
            <w:drawing>
              <wp:inline distT="0" distB="0" distL="0" distR="0">
                <wp:extent cx="5943600" cy="3200400"/>
                <wp:effectExtent l="0" t="0" r="0" b="0"/>
                <wp:docPr id="3"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pic:cNvPicPr>
                      </pic:nvPicPr>
                      <pic:blipFill>
                        <a:blip r:embed="rId23"/>
                        <a:stretch/>
                      </pic:blipFill>
                      <pic:spPr bwMode="auto">
                        <a:xfrm>
                          <a:off x="0" y="0"/>
                          <a:ext cx="5943600" cy="3200400"/>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width:468.00pt;height:252.00pt;mso-wrap-distance-left:0.00pt;mso-wrap-distance-top:0.00pt;mso-wrap-distance-right:0.00pt;mso-wrap-distance-bottom:0.00pt;" stroked="f">
                <v:path textboxrect="0,0,0,0"/>
                <v:imagedata r:id="rId24" o:title=""/>
              </v:shape>
            </w:pict>
          </mc:Fallback>
        </mc:AlternateContent>
      </w:r>
    </w:p>
    <w:p w:rsidR="00DC1467" w:rsidRDefault="00DC1467">
      <w:pPr>
        <w:pStyle w:val="af3"/>
        <w:widowControl w:val="0"/>
        <w:spacing w:after="0"/>
        <w:rPr>
          <w:sz w:val="28"/>
          <w:szCs w:val="28"/>
        </w:rPr>
      </w:pPr>
    </w:p>
    <w:p w:rsidR="00DC1467" w:rsidRDefault="00B70D3E">
      <w:pPr>
        <w:pStyle w:val="af3"/>
        <w:widowControl w:val="0"/>
        <w:spacing w:after="0"/>
        <w:jc w:val="center"/>
        <w:rPr>
          <w:sz w:val="28"/>
          <w:szCs w:val="28"/>
        </w:rPr>
      </w:pPr>
      <w:r>
        <w:rPr>
          <w:sz w:val="28"/>
          <w:szCs w:val="28"/>
        </w:rPr>
        <w:t>Рис. 3. Структура наркопотребления по болезненности в 2023-2024 гг.</w:t>
      </w:r>
    </w:p>
    <w:p w:rsidR="00DC1467" w:rsidRDefault="00B70D3E">
      <w:pPr>
        <w:pStyle w:val="af3"/>
        <w:widowControl w:val="0"/>
        <w:spacing w:after="0"/>
        <w:jc w:val="center"/>
        <w:rPr>
          <w:sz w:val="28"/>
          <w:szCs w:val="28"/>
        </w:rPr>
      </w:pPr>
      <w:r>
        <w:rPr>
          <w:sz w:val="28"/>
          <w:szCs w:val="28"/>
        </w:rPr>
        <w:t>(в % от общего числа зареги</w:t>
      </w:r>
      <w:r>
        <w:rPr>
          <w:sz w:val="28"/>
          <w:szCs w:val="28"/>
        </w:rPr>
        <w:t>стрированных наркозависимых; абс.)</w:t>
      </w:r>
    </w:p>
    <w:p w:rsidR="00DC1467" w:rsidRDefault="00DC1467">
      <w:pPr>
        <w:pStyle w:val="af5"/>
        <w:spacing w:after="0" w:line="276" w:lineRule="auto"/>
        <w:ind w:firstLine="0"/>
        <w:jc w:val="center"/>
        <w:rPr>
          <w:sz w:val="28"/>
          <w:szCs w:val="28"/>
        </w:rPr>
      </w:pPr>
    </w:p>
    <w:p w:rsidR="00DC1467" w:rsidRDefault="00B70D3E">
      <w:pPr>
        <w:pStyle w:val="af5"/>
        <w:spacing w:after="0" w:line="276" w:lineRule="auto"/>
        <w:ind w:firstLine="709"/>
        <w:jc w:val="both"/>
        <w:rPr>
          <w:sz w:val="28"/>
          <w:szCs w:val="28"/>
        </w:rPr>
      </w:pPr>
      <w:r>
        <w:rPr>
          <w:sz w:val="28"/>
          <w:szCs w:val="28"/>
        </w:rPr>
        <w:lastRenderedPageBreak/>
        <w:t>Соотношение лиц, зарегистрированных с «синдромом зависимости от наркотиков», по полу составило в 2024 году М : Ж = 4,9 : 1, в процентном соотношении 83,0 % – мужчин и 17,0 % – женщин, аналогично 2023 году. Данная динамик</w:t>
      </w:r>
      <w:r>
        <w:rPr>
          <w:sz w:val="28"/>
          <w:szCs w:val="28"/>
        </w:rPr>
        <w:t>а показывает сохранение доли женщин, зарегистрированных с наркоманией, на фоне общего снижения числа зарегистрированных лиц с наркоманией (см. рис. 4).</w:t>
      </w:r>
    </w:p>
    <w:p w:rsidR="00DC1467" w:rsidRDefault="00B70D3E">
      <w:pPr>
        <w:pStyle w:val="af5"/>
        <w:spacing w:after="0"/>
        <w:ind w:firstLine="0"/>
        <w:jc w:val="center"/>
        <w:rPr>
          <w:sz w:val="28"/>
          <w:szCs w:val="28"/>
        </w:rPr>
      </w:pPr>
      <w:r>
        <w:rPr>
          <w:noProof/>
          <w:sz w:val="28"/>
          <w:szCs w:val="28"/>
        </w:rPr>
        <mc:AlternateContent>
          <mc:Choice Requires="wpg">
            <w:drawing>
              <wp:inline distT="0" distB="0" distL="0" distR="0">
                <wp:extent cx="5895975" cy="2990274"/>
                <wp:effectExtent l="0" t="0" r="0" b="635"/>
                <wp:docPr id="4"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pic:cNvPicPr>
                      </pic:nvPicPr>
                      <pic:blipFill>
                        <a:blip r:embed="rId25"/>
                        <a:stretch/>
                      </pic:blipFill>
                      <pic:spPr bwMode="auto">
                        <a:xfrm>
                          <a:off x="0" y="0"/>
                          <a:ext cx="5913673" cy="2999250"/>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 o:spid="_x0000_s3" type="#_x0000_t75" style="width:464.25pt;height:235.45pt;mso-wrap-distance-left:0.00pt;mso-wrap-distance-top:0.00pt;mso-wrap-distance-right:0.00pt;mso-wrap-distance-bottom:0.00pt;" stroked="f">
                <v:path textboxrect="0,0,0,0"/>
                <v:imagedata r:id="rId26" o:title=""/>
              </v:shape>
            </w:pict>
          </mc:Fallback>
        </mc:AlternateContent>
      </w:r>
    </w:p>
    <w:p w:rsidR="00DC1467" w:rsidRDefault="00B70D3E">
      <w:pPr>
        <w:pStyle w:val="af3"/>
        <w:widowControl w:val="0"/>
        <w:spacing w:after="0"/>
        <w:jc w:val="center"/>
        <w:rPr>
          <w:sz w:val="28"/>
          <w:szCs w:val="28"/>
        </w:rPr>
      </w:pPr>
      <w:r>
        <w:rPr>
          <w:sz w:val="28"/>
          <w:szCs w:val="28"/>
        </w:rPr>
        <w:t xml:space="preserve">Рис. 4. Соотношение зарегистрированных наркозависимых по полу </w:t>
      </w:r>
    </w:p>
    <w:p w:rsidR="00DC1467" w:rsidRDefault="00B70D3E">
      <w:pPr>
        <w:pStyle w:val="af3"/>
        <w:widowControl w:val="0"/>
        <w:spacing w:after="0"/>
        <w:jc w:val="center"/>
        <w:rPr>
          <w:sz w:val="28"/>
          <w:szCs w:val="28"/>
        </w:rPr>
      </w:pPr>
      <w:r>
        <w:rPr>
          <w:sz w:val="28"/>
          <w:szCs w:val="28"/>
        </w:rPr>
        <w:t>в 2023-2024 гг. (в % от общего числа за</w:t>
      </w:r>
      <w:r>
        <w:rPr>
          <w:sz w:val="28"/>
          <w:szCs w:val="28"/>
        </w:rPr>
        <w:t xml:space="preserve">регистрированных </w:t>
      </w:r>
      <w:r>
        <w:rPr>
          <w:sz w:val="28"/>
          <w:szCs w:val="28"/>
        </w:rPr>
        <w:br/>
        <w:t>наркозависимых; абс.)</w:t>
      </w:r>
    </w:p>
    <w:p w:rsidR="00DC1467" w:rsidRDefault="00DC1467">
      <w:pPr>
        <w:pStyle w:val="af5"/>
        <w:spacing w:after="0" w:line="276" w:lineRule="auto"/>
        <w:ind w:firstLine="0"/>
        <w:jc w:val="center"/>
        <w:rPr>
          <w:sz w:val="28"/>
          <w:szCs w:val="28"/>
        </w:rPr>
      </w:pPr>
    </w:p>
    <w:p w:rsidR="00DC1467" w:rsidRDefault="00B70D3E">
      <w:pPr>
        <w:pStyle w:val="af5"/>
        <w:spacing w:after="0" w:line="276" w:lineRule="auto"/>
        <w:ind w:firstLine="709"/>
        <w:jc w:val="both"/>
        <w:rPr>
          <w:sz w:val="28"/>
          <w:szCs w:val="28"/>
        </w:rPr>
      </w:pPr>
      <w:r>
        <w:rPr>
          <w:sz w:val="28"/>
          <w:szCs w:val="28"/>
        </w:rPr>
        <w:t xml:space="preserve">В структуре болезненности за 2024 и 2023 годы несовершеннолетних с наркоманией не зарегистрировано. </w:t>
      </w:r>
    </w:p>
    <w:p w:rsidR="00DC1467" w:rsidRDefault="00B70D3E">
      <w:pPr>
        <w:pStyle w:val="af5"/>
        <w:spacing w:after="0" w:line="276" w:lineRule="auto"/>
        <w:ind w:firstLine="709"/>
        <w:jc w:val="both"/>
        <w:rPr>
          <w:sz w:val="28"/>
          <w:szCs w:val="28"/>
        </w:rPr>
      </w:pPr>
      <w:r>
        <w:rPr>
          <w:sz w:val="28"/>
          <w:szCs w:val="28"/>
        </w:rPr>
        <w:t>Превалирующая возрастная группа среди зарегистрированных наркозависимых лиц – 20-39 лет – 67,6 % (в 2023 году – 69</w:t>
      </w:r>
      <w:r>
        <w:rPr>
          <w:sz w:val="28"/>
          <w:szCs w:val="28"/>
        </w:rPr>
        <w:t>,2 %, см. рис. 5), однако наблюдается тренд на «старение» зарегистрированных потребителей наркотиков с синдром зависимости.</w:t>
      </w:r>
    </w:p>
    <w:p w:rsidR="00DC1467" w:rsidRDefault="00B70D3E">
      <w:pPr>
        <w:pStyle w:val="af5"/>
        <w:spacing w:after="0"/>
        <w:ind w:firstLine="0"/>
        <w:jc w:val="center"/>
        <w:rPr>
          <w:sz w:val="28"/>
          <w:szCs w:val="28"/>
        </w:rPr>
      </w:pPr>
      <w:r>
        <w:rPr>
          <w:noProof/>
          <w:sz w:val="28"/>
          <w:szCs w:val="28"/>
        </w:rPr>
        <w:lastRenderedPageBreak/>
        <mc:AlternateContent>
          <mc:Choice Requires="wpg">
            <w:drawing>
              <wp:inline distT="0" distB="0" distL="0" distR="0">
                <wp:extent cx="5932170" cy="3032125"/>
                <wp:effectExtent l="0" t="0" r="0" b="0"/>
                <wp:docPr id="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pic:cNvPicPr>
                      </pic:nvPicPr>
                      <pic:blipFill>
                        <a:blip r:embed="rId27"/>
                        <a:stretch/>
                      </pic:blipFill>
                      <pic:spPr bwMode="auto">
                        <a:xfrm>
                          <a:off x="0" y="0"/>
                          <a:ext cx="5932170" cy="3032125"/>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width:467.10pt;height:238.75pt;mso-wrap-distance-left:0.00pt;mso-wrap-distance-top:0.00pt;mso-wrap-distance-right:0.00pt;mso-wrap-distance-bottom:0.00pt;" stroked="f">
                <v:path textboxrect="0,0,0,0"/>
                <v:imagedata r:id="rId28" o:title=""/>
              </v:shape>
            </w:pict>
          </mc:Fallback>
        </mc:AlternateContent>
      </w:r>
    </w:p>
    <w:p w:rsidR="00DC1467" w:rsidRDefault="00B70D3E">
      <w:pPr>
        <w:pStyle w:val="af3"/>
        <w:widowControl w:val="0"/>
        <w:spacing w:after="0"/>
        <w:jc w:val="center"/>
        <w:rPr>
          <w:sz w:val="28"/>
          <w:szCs w:val="28"/>
        </w:rPr>
      </w:pPr>
      <w:r>
        <w:rPr>
          <w:sz w:val="28"/>
          <w:szCs w:val="28"/>
        </w:rPr>
        <w:t>Рис. 5. Соотношение зарегистрированных наркозависимых по возрасту</w:t>
      </w:r>
    </w:p>
    <w:p w:rsidR="00DC1467" w:rsidRDefault="00B70D3E">
      <w:pPr>
        <w:pStyle w:val="af3"/>
        <w:widowControl w:val="0"/>
        <w:spacing w:after="0"/>
        <w:jc w:val="center"/>
        <w:rPr>
          <w:sz w:val="28"/>
          <w:szCs w:val="28"/>
        </w:rPr>
      </w:pPr>
      <w:r>
        <w:rPr>
          <w:sz w:val="28"/>
          <w:szCs w:val="28"/>
        </w:rPr>
        <w:t xml:space="preserve">в 2023-2024 гг. (в % от общего числа зарегистрированных наркозависимых </w:t>
      </w:r>
      <w:r>
        <w:rPr>
          <w:sz w:val="28"/>
          <w:szCs w:val="28"/>
        </w:rPr>
        <w:br/>
        <w:t>в соответствующем году)</w:t>
      </w:r>
    </w:p>
    <w:p w:rsidR="00DC1467" w:rsidRDefault="00DC1467">
      <w:pPr>
        <w:spacing w:line="276" w:lineRule="auto"/>
        <w:ind w:firstLine="709"/>
        <w:outlineLvl w:val="1"/>
        <w:rPr>
          <w:b/>
          <w:i/>
        </w:rPr>
      </w:pPr>
    </w:p>
    <w:p w:rsidR="00DC1467" w:rsidRDefault="00B70D3E">
      <w:pPr>
        <w:spacing w:line="276" w:lineRule="auto"/>
        <w:ind w:firstLine="709"/>
        <w:outlineLvl w:val="1"/>
        <w:rPr>
          <w:b/>
          <w:i/>
        </w:rPr>
      </w:pPr>
      <w:r>
        <w:rPr>
          <w:b/>
          <w:i/>
        </w:rPr>
        <w:t>Анализ динамики первичной заболеваемости наркоманией</w:t>
      </w:r>
    </w:p>
    <w:p w:rsidR="00DC1467" w:rsidRDefault="00B70D3E">
      <w:pPr>
        <w:pStyle w:val="af5"/>
        <w:spacing w:after="0" w:line="276" w:lineRule="auto"/>
        <w:ind w:firstLine="709"/>
        <w:jc w:val="both"/>
        <w:rPr>
          <w:sz w:val="28"/>
          <w:szCs w:val="28"/>
        </w:rPr>
      </w:pPr>
      <w:r>
        <w:rPr>
          <w:sz w:val="28"/>
          <w:szCs w:val="28"/>
        </w:rPr>
        <w:t>Уровень первичной заболеваемости наркоманией (т.е. количества впервые обратившихся за медицинской нарколог</w:t>
      </w:r>
      <w:r>
        <w:rPr>
          <w:sz w:val="28"/>
          <w:szCs w:val="28"/>
        </w:rPr>
        <w:t>ической помощью в текущем году) в автономном округе в 2015 году составлял 20,9 случаев на 100 тыс. населения (абс. 338). Ежегодно данный показатель снижался и в 2022 году достиг минимума – 3,7 на 100 тыс. населения (абс. 64). С 2023 года зарегистрированный</w:t>
      </w:r>
      <w:r>
        <w:rPr>
          <w:sz w:val="28"/>
          <w:szCs w:val="28"/>
        </w:rPr>
        <w:t xml:space="preserve"> уровень первичной заболеваемости наркоманией (4,5 на 100 тыс. населения, абс. 78) сменил тренд на прирост и в 2024 году составил 5,2 на 100 тыс. населения (абс. 91, см. рис. 6). </w:t>
      </w:r>
    </w:p>
    <w:p w:rsidR="00DC1467" w:rsidRDefault="00B70D3E">
      <w:pPr>
        <w:pStyle w:val="af5"/>
        <w:spacing w:after="0" w:line="276" w:lineRule="auto"/>
        <w:ind w:firstLine="709"/>
        <w:jc w:val="both"/>
        <w:rPr>
          <w:sz w:val="28"/>
          <w:szCs w:val="28"/>
        </w:rPr>
      </w:pPr>
      <w:r>
        <w:rPr>
          <w:sz w:val="28"/>
          <w:szCs w:val="28"/>
        </w:rPr>
        <w:t xml:space="preserve">В целом уровень первичной заболеваемости наркоманией </w:t>
      </w:r>
      <w:r>
        <w:rPr>
          <w:sz w:val="28"/>
          <w:szCs w:val="28"/>
        </w:rPr>
        <w:br/>
        <w:t>в Ханты-Мансийском авт</w:t>
      </w:r>
      <w:r>
        <w:rPr>
          <w:sz w:val="28"/>
          <w:szCs w:val="28"/>
        </w:rPr>
        <w:t xml:space="preserve">ономном округе – Югре в 2,7 раза ниже, чем в Уральском Федеральном округе (в 2022 г. – 13,9 на 100 тыс. населения) и в 1,8 раза ниже среднего уровня по Российской Федерации (в 2022 г. – 9,6 на 100 тыс. населения). </w:t>
      </w:r>
    </w:p>
    <w:p w:rsidR="00DC1467" w:rsidRDefault="00B70D3E">
      <w:pPr>
        <w:pStyle w:val="af5"/>
        <w:spacing w:after="0"/>
        <w:ind w:firstLine="0"/>
        <w:jc w:val="center"/>
        <w:rPr>
          <w:sz w:val="28"/>
          <w:szCs w:val="28"/>
        </w:rPr>
      </w:pPr>
      <w:r>
        <w:rPr>
          <w:noProof/>
          <w:sz w:val="28"/>
          <w:szCs w:val="28"/>
        </w:rPr>
        <w:lastRenderedPageBreak/>
        <mc:AlternateContent>
          <mc:Choice Requires="wpg">
            <w:drawing>
              <wp:inline distT="0" distB="0" distL="0" distR="0">
                <wp:extent cx="5943600" cy="2926080"/>
                <wp:effectExtent l="0" t="0" r="0" b="7620"/>
                <wp:docPr id="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pic:cNvPicPr>
                      </pic:nvPicPr>
                      <pic:blipFill>
                        <a:blip r:embed="rId29"/>
                        <a:stretch/>
                      </pic:blipFill>
                      <pic:spPr bwMode="auto">
                        <a:xfrm>
                          <a:off x="0" y="0"/>
                          <a:ext cx="5943600" cy="2926080"/>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width:468.00pt;height:230.40pt;mso-wrap-distance-left:0.00pt;mso-wrap-distance-top:0.00pt;mso-wrap-distance-right:0.00pt;mso-wrap-distance-bottom:0.00pt;" stroked="f">
                <v:path textboxrect="0,0,0,0"/>
                <v:imagedata r:id="rId30" o:title=""/>
              </v:shape>
            </w:pict>
          </mc:Fallback>
        </mc:AlternateContent>
      </w:r>
    </w:p>
    <w:p w:rsidR="00DC1467" w:rsidRDefault="00B70D3E">
      <w:pPr>
        <w:pStyle w:val="af5"/>
        <w:spacing w:after="0"/>
        <w:ind w:firstLine="0"/>
        <w:jc w:val="center"/>
        <w:rPr>
          <w:sz w:val="28"/>
          <w:szCs w:val="28"/>
        </w:rPr>
      </w:pPr>
      <w:r>
        <w:rPr>
          <w:sz w:val="28"/>
          <w:szCs w:val="28"/>
        </w:rPr>
        <w:t xml:space="preserve">Рис. 6. Динамика первичной заболеваемости наркоманией в 2020-2024 гг. </w:t>
      </w:r>
    </w:p>
    <w:p w:rsidR="00DC1467" w:rsidRDefault="00B70D3E">
      <w:pPr>
        <w:pStyle w:val="af5"/>
        <w:spacing w:after="0"/>
        <w:ind w:firstLine="0"/>
        <w:jc w:val="center"/>
        <w:rPr>
          <w:sz w:val="28"/>
          <w:szCs w:val="28"/>
        </w:rPr>
      </w:pPr>
      <w:r>
        <w:rPr>
          <w:sz w:val="28"/>
          <w:szCs w:val="28"/>
        </w:rPr>
        <w:t>(на 100 тыс. населения)</w:t>
      </w:r>
    </w:p>
    <w:p w:rsidR="00DC1467" w:rsidRDefault="00DC1467">
      <w:pPr>
        <w:pStyle w:val="af5"/>
        <w:spacing w:after="0" w:line="276" w:lineRule="auto"/>
        <w:ind w:firstLine="709"/>
        <w:jc w:val="both"/>
        <w:rPr>
          <w:sz w:val="28"/>
          <w:szCs w:val="28"/>
        </w:rPr>
      </w:pPr>
    </w:p>
    <w:p w:rsidR="00DC1467" w:rsidRDefault="00B70D3E">
      <w:pPr>
        <w:spacing w:line="276" w:lineRule="auto"/>
        <w:ind w:firstLine="709"/>
      </w:pPr>
      <w:r>
        <w:t>Увеличение первичной заболеваемости наркоманией зафиксировано в следующих муниципальных образованиях Югры (см. рис. 7): в городах Сургут – с 6-ти случаев в 2023</w:t>
      </w:r>
      <w:r>
        <w:t xml:space="preserve"> году до 25-ти новых случаев в 2024 году; Ханты-Мансийск – с 4-х до 14-ти случаев; Нижневартовск – с 11-ти до 17-ти случаев; Нефтеюганск – с 3-х до 5-ти случаев и Ханты-Мансийском районе – с 0 до 1-го случая.</w:t>
      </w:r>
    </w:p>
    <w:p w:rsidR="00DC1467" w:rsidRDefault="00B70D3E">
      <w:pPr>
        <w:spacing w:line="276" w:lineRule="auto"/>
        <w:ind w:firstLine="709"/>
      </w:pPr>
      <w:r>
        <w:t>В г. Нягань в связи с увеличением численности н</w:t>
      </w:r>
      <w:r>
        <w:t>аселения, при сохранении числа впервые в жизни зарегистрированных лиц с наркоманией на уровне 2023 года, отмечается снижение первичной заболеваемости наркоманией на 2,2% (в 2024 г. – 4,4 на 100 тыс. населения, в 2023 г. – 4,5 на 100 тыс. населения, абс. 3)</w:t>
      </w:r>
      <w:r>
        <w:t>.</w:t>
      </w:r>
    </w:p>
    <w:p w:rsidR="00DC1467" w:rsidRDefault="00B70D3E">
      <w:pPr>
        <w:spacing w:line="276" w:lineRule="auto"/>
        <w:ind w:firstLine="709"/>
      </w:pPr>
      <w:r>
        <w:t>В г. Радужный, в Белоярском, Кондинском, Нефтеюганском и Октябрьском районах первичная заболеваемость наркоманией в 2024 и 2023 годах не зарегистрирована. В других муниципальных образованиях – снижение первичной заболеваемости наркоманией.</w:t>
      </w:r>
    </w:p>
    <w:p w:rsidR="00DC1467" w:rsidRDefault="00B70D3E">
      <w:pPr>
        <w:pStyle w:val="af5"/>
        <w:spacing w:after="0" w:line="276" w:lineRule="auto"/>
        <w:ind w:firstLine="709"/>
        <w:jc w:val="both"/>
        <w:rPr>
          <w:sz w:val="28"/>
          <w:szCs w:val="28"/>
        </w:rPr>
      </w:pPr>
      <w:r>
        <w:rPr>
          <w:sz w:val="28"/>
          <w:szCs w:val="28"/>
        </w:rPr>
        <w:t>Наиболее значи</w:t>
      </w:r>
      <w:r>
        <w:rPr>
          <w:sz w:val="28"/>
          <w:szCs w:val="28"/>
        </w:rPr>
        <w:t>мый прирост первичной заболеваемости наркоманией отмечен в наиболее крупных муниципальных образованиях, являющихся транспортно-логистическими узлами в инфраструктуре автономного округа, и обусловлен реализацией мер, направленных на выявление и побуждение п</w:t>
      </w:r>
      <w:r>
        <w:rPr>
          <w:sz w:val="28"/>
          <w:szCs w:val="28"/>
        </w:rPr>
        <w:t xml:space="preserve">отребителей наркотических средств обратиться в медицинские организации. </w:t>
      </w:r>
    </w:p>
    <w:p w:rsidR="00DC1467" w:rsidRDefault="00B70D3E">
      <w:pPr>
        <w:spacing w:line="276" w:lineRule="auto"/>
        <w:ind w:firstLine="709"/>
      </w:pPr>
      <w:r>
        <w:t xml:space="preserve">В то же время отмечается превышение уровня окружного показателя первичной заболеваемости наркоманией в Ханты-Мансийске в 2,4 раза и составляет 12,5 на 100 тыс. населения (абс. 14); в </w:t>
      </w:r>
      <w:r>
        <w:t xml:space="preserve">Сургутском районе в 1,6 раза и составляет 8,5 на 100 тыс. населения (абс. 11); а также в Урае (на 40,4 </w:t>
      </w:r>
      <w:r>
        <w:lastRenderedPageBreak/>
        <w:t xml:space="preserve">%), Мегионе (на 28,8 %), в Советском районе (на 25,0 %), в городах Нижневартовск и Сургут (на 13,5 % соответственно) и в Ханты-Мансийском районе (на 1,9 </w:t>
      </w:r>
      <w:r>
        <w:t>%).</w:t>
      </w:r>
    </w:p>
    <w:p w:rsidR="00DC1467" w:rsidRDefault="00DC1467">
      <w:pPr>
        <w:spacing w:line="276" w:lineRule="auto"/>
        <w:ind w:firstLine="709"/>
      </w:pPr>
    </w:p>
    <w:p w:rsidR="00DC1467" w:rsidRDefault="00B70D3E">
      <w:pPr>
        <w:spacing w:line="240" w:lineRule="auto"/>
        <w:ind w:firstLine="0"/>
        <w:jc w:val="center"/>
        <w:rPr>
          <w:lang w:val="en-US"/>
        </w:rPr>
      </w:pPr>
      <w:r>
        <w:rPr>
          <w:noProof/>
        </w:rPr>
        <mc:AlternateContent>
          <mc:Choice Requires="wpg">
            <w:drawing>
              <wp:inline distT="0" distB="0" distL="0" distR="0">
                <wp:extent cx="6094697" cy="3087094"/>
                <wp:effectExtent l="0" t="0" r="1905" b="0"/>
                <wp:docPr id="7"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pic:cNvPicPr>
                      </pic:nvPicPr>
                      <pic:blipFill>
                        <a:blip r:embed="rId31"/>
                        <a:stretch/>
                      </pic:blipFill>
                      <pic:spPr bwMode="auto">
                        <a:xfrm>
                          <a:off x="0" y="0"/>
                          <a:ext cx="6092125" cy="3085791"/>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width:479.90pt;height:243.08pt;mso-wrap-distance-left:0.00pt;mso-wrap-distance-top:0.00pt;mso-wrap-distance-right:0.00pt;mso-wrap-distance-bottom:0.00pt;" stroked="f">
                <v:path textboxrect="0,0,0,0"/>
                <v:imagedata r:id="rId32" o:title=""/>
              </v:shape>
            </w:pict>
          </mc:Fallback>
        </mc:AlternateContent>
      </w:r>
    </w:p>
    <w:p w:rsidR="00DC1467" w:rsidRDefault="00B70D3E">
      <w:pPr>
        <w:spacing w:line="240" w:lineRule="auto"/>
        <w:ind w:firstLine="0"/>
        <w:jc w:val="center"/>
      </w:pPr>
      <w:r>
        <w:t xml:space="preserve">Рис. 7. Первичная заболеваемость наркоманией в 2023-2024 гг. </w:t>
      </w:r>
    </w:p>
    <w:p w:rsidR="00DC1467" w:rsidRDefault="00B70D3E">
      <w:pPr>
        <w:spacing w:line="240" w:lineRule="auto"/>
        <w:ind w:firstLine="0"/>
        <w:jc w:val="center"/>
      </w:pPr>
      <w:r>
        <w:t>(на 100 тыс. населения)</w:t>
      </w:r>
    </w:p>
    <w:p w:rsidR="00DC1467" w:rsidRDefault="00DC1467">
      <w:pPr>
        <w:pStyle w:val="af5"/>
        <w:spacing w:after="0" w:line="276" w:lineRule="auto"/>
        <w:ind w:firstLine="709"/>
        <w:jc w:val="both"/>
        <w:rPr>
          <w:sz w:val="28"/>
          <w:szCs w:val="28"/>
        </w:rPr>
      </w:pPr>
    </w:p>
    <w:p w:rsidR="00DC1467" w:rsidRDefault="00B70D3E">
      <w:pPr>
        <w:spacing w:line="276" w:lineRule="auto"/>
        <w:ind w:firstLine="709"/>
      </w:pPr>
      <w:r>
        <w:t>Стоит отметить, что в 2024 году доля взятых под диспансерное наблюдение впервые в жизни по ХМАО – Югре от общего числа взятых под наблюдение за 2024 год составила</w:t>
      </w:r>
      <w:r>
        <w:t xml:space="preserve"> 43,5 % (в 2023 г. – 43,8 %). Все впервые выявленные лица с наркотической зависимостью дали добровольное информированное согласие на диспансерное наблюдение у врача-психиатра-нарколога.</w:t>
      </w:r>
    </w:p>
    <w:p w:rsidR="00DC1467" w:rsidRDefault="00B70D3E">
      <w:pPr>
        <w:spacing w:line="276" w:lineRule="auto"/>
        <w:ind w:firstLine="709"/>
      </w:pPr>
      <w:r>
        <w:t>Количество лиц, зарегистрированных впервые в жизни с диагнозом наркома</w:t>
      </w:r>
      <w:r>
        <w:t xml:space="preserve">ния, в 2024 году в абсолютных показателях составляет: Сургут – 25 человек; Нижневартовск – 17 человек; Ханты-Мансийск – 14 человек; Сургутский район – 11 человек; Нефтеюганск – 5 человек; Мегион – 4 человека. В других муниципальных образованиях количество </w:t>
      </w:r>
      <w:r>
        <w:t xml:space="preserve">впервые выявленных случаев наркомании, зарегистрированных медицинскими организациями, не превышает 3-х человек. </w:t>
      </w:r>
    </w:p>
    <w:p w:rsidR="00DC1467" w:rsidRDefault="00B70D3E">
      <w:pPr>
        <w:spacing w:line="276" w:lineRule="auto"/>
        <w:ind w:firstLine="709"/>
      </w:pPr>
      <w:r>
        <w:t>Как видно из приведенных данных, сохранявшийся на протяжении 8-ми лет тренд на снижение уровня первичной заболева</w:t>
      </w:r>
      <w:r>
        <w:t xml:space="preserve">емости наркоманией среди населения в 2023 году сменил вектор. Доля впервые в жизни взятых под наблюдение из общего числа взятых соответствует уровню 2023 года на фоне увеличения числа последних (в 2024 г. – 209 человек, в 2023 г. – 178 человек, + 17,4 %). </w:t>
      </w:r>
    </w:p>
    <w:p w:rsidR="00DC1467" w:rsidRDefault="00B70D3E">
      <w:pPr>
        <w:spacing w:line="276" w:lineRule="auto"/>
        <w:ind w:firstLine="709"/>
      </w:pPr>
      <w:r>
        <w:t xml:space="preserve">Снижение первичной заболеваемости наркоманией зафиксировано в 12-ти из 22 муниципальных образований: </w:t>
      </w:r>
    </w:p>
    <w:p w:rsidR="00DC1467" w:rsidRDefault="00B70D3E">
      <w:pPr>
        <w:spacing w:line="276" w:lineRule="auto"/>
        <w:ind w:firstLine="709"/>
        <w:rPr>
          <w:color w:val="000000"/>
        </w:rPr>
      </w:pPr>
      <w:r>
        <w:rPr>
          <w:color w:val="000000"/>
        </w:rPr>
        <w:t xml:space="preserve">- г. Лангепас </w:t>
      </w:r>
      <w:r>
        <w:t>– на 70,9 %, с 7-ми до 2-х новых случаев,</w:t>
      </w:r>
      <w:r>
        <w:rPr>
          <w:color w:val="000000"/>
        </w:rPr>
        <w:t xml:space="preserve"> при перерасчете на 100 тыс. населения: 2024 г. – 4,4 и 2023 г. – 15,1;</w:t>
      </w:r>
    </w:p>
    <w:p w:rsidR="00DC1467" w:rsidRDefault="00B70D3E">
      <w:pPr>
        <w:spacing w:line="276" w:lineRule="auto"/>
        <w:ind w:firstLine="709"/>
        <w:rPr>
          <w:color w:val="000000"/>
        </w:rPr>
      </w:pPr>
      <w:r>
        <w:rPr>
          <w:color w:val="000000"/>
        </w:rPr>
        <w:t xml:space="preserve">- г. Когалым </w:t>
      </w:r>
      <w:r>
        <w:t xml:space="preserve">– на 66,0 %, </w:t>
      </w:r>
      <w:r>
        <w:t>с 3-х до 1-го нового случая,</w:t>
      </w:r>
      <w:r>
        <w:rPr>
          <w:color w:val="000000"/>
        </w:rPr>
        <w:t xml:space="preserve"> при перерасчете на 100 тыс. населения: 2024 г. – 1,6 и 2023 г. – 4,6;</w:t>
      </w:r>
    </w:p>
    <w:p w:rsidR="00DC1467" w:rsidRDefault="00B70D3E">
      <w:pPr>
        <w:spacing w:line="276" w:lineRule="auto"/>
        <w:ind w:firstLine="709"/>
        <w:rPr>
          <w:color w:val="000000"/>
        </w:rPr>
      </w:pPr>
      <w:r>
        <w:rPr>
          <w:color w:val="000000"/>
        </w:rPr>
        <w:t xml:space="preserve">- г. Урай </w:t>
      </w:r>
      <w:r>
        <w:t>– на 57,1 %, с 7-ми до 3-х новых случаев,</w:t>
      </w:r>
      <w:r>
        <w:rPr>
          <w:color w:val="000000"/>
        </w:rPr>
        <w:t xml:space="preserve"> при перерасчете на 100 тыс. населения: 2024 г. – 7,3 и 2023 г. – 17,0;</w:t>
      </w:r>
    </w:p>
    <w:p w:rsidR="00DC1467" w:rsidRDefault="00B70D3E">
      <w:pPr>
        <w:spacing w:line="276" w:lineRule="auto"/>
        <w:ind w:firstLine="709"/>
        <w:rPr>
          <w:color w:val="000000"/>
        </w:rPr>
      </w:pPr>
      <w:r>
        <w:rPr>
          <w:color w:val="000000"/>
        </w:rPr>
        <w:t xml:space="preserve">- Нижневартовский район </w:t>
      </w:r>
      <w:r>
        <w:t>– на 33,3 </w:t>
      </w:r>
      <w:r>
        <w:t>%, с 3-х до 2-х новых случаев,</w:t>
      </w:r>
      <w:r>
        <w:rPr>
          <w:color w:val="000000"/>
        </w:rPr>
        <w:t xml:space="preserve"> при перерасчете на 100 тыс. населения: 2024 г. – 5,2 и 2023 г. – 7,8;</w:t>
      </w:r>
    </w:p>
    <w:p w:rsidR="00DC1467" w:rsidRDefault="00B70D3E">
      <w:pPr>
        <w:spacing w:line="276" w:lineRule="auto"/>
        <w:ind w:firstLine="709"/>
        <w:rPr>
          <w:color w:val="000000"/>
        </w:rPr>
      </w:pPr>
      <w:r>
        <w:rPr>
          <w:color w:val="000000"/>
        </w:rPr>
        <w:t xml:space="preserve">- Советский район </w:t>
      </w:r>
      <w:r>
        <w:t>– на 24,4 %, с 4-х до 3-х новых случаев,</w:t>
      </w:r>
      <w:r>
        <w:rPr>
          <w:color w:val="000000"/>
        </w:rPr>
        <w:t xml:space="preserve"> при перерасчете на 100 тыс. населения: 2024 г. – 6,5 и 2023 г. – 8,6;</w:t>
      </w:r>
    </w:p>
    <w:p w:rsidR="00DC1467" w:rsidRDefault="00B70D3E">
      <w:pPr>
        <w:spacing w:line="276" w:lineRule="auto"/>
        <w:ind w:firstLine="709"/>
        <w:rPr>
          <w:color w:val="000000"/>
        </w:rPr>
      </w:pPr>
      <w:r>
        <w:rPr>
          <w:color w:val="000000"/>
        </w:rPr>
        <w:t xml:space="preserve">- Сургутский район </w:t>
      </w:r>
      <w:r>
        <w:t>– на 22</w:t>
      </w:r>
      <w:r>
        <w:t>,7 %, с 14-ти до 11-ти новых случаев,</w:t>
      </w:r>
      <w:r>
        <w:rPr>
          <w:color w:val="000000"/>
        </w:rPr>
        <w:t xml:space="preserve"> при перерасчете на 100 тыс. населения: 2024 г. – 8,5 и 2023 г. – 11,0;</w:t>
      </w:r>
    </w:p>
    <w:p w:rsidR="00DC1467" w:rsidRDefault="00B70D3E">
      <w:pPr>
        <w:spacing w:line="276" w:lineRule="auto"/>
        <w:ind w:firstLine="709"/>
        <w:rPr>
          <w:color w:val="000000"/>
        </w:rPr>
      </w:pPr>
      <w:r>
        <w:rPr>
          <w:color w:val="000000"/>
        </w:rPr>
        <w:t xml:space="preserve">- г. Мегион </w:t>
      </w:r>
      <w:r>
        <w:t>– на 20,2 %, с 5-ти до 4-х новых случаев,</w:t>
      </w:r>
      <w:r>
        <w:rPr>
          <w:color w:val="000000"/>
        </w:rPr>
        <w:t xml:space="preserve"> при перерасчете на 100 тыс. населения: 2024 г. – 6,7 и 2023 г. – 8,4.</w:t>
      </w:r>
    </w:p>
    <w:p w:rsidR="00DC1467" w:rsidRDefault="00B70D3E">
      <w:pPr>
        <w:pStyle w:val="af5"/>
        <w:spacing w:after="0" w:line="276" w:lineRule="auto"/>
        <w:ind w:firstLine="709"/>
        <w:jc w:val="both"/>
        <w:rPr>
          <w:sz w:val="28"/>
          <w:szCs w:val="28"/>
        </w:rPr>
      </w:pPr>
      <w:r>
        <w:rPr>
          <w:sz w:val="28"/>
          <w:szCs w:val="28"/>
        </w:rPr>
        <w:t>В городах Покачи, Пыть-</w:t>
      </w:r>
      <w:r>
        <w:rPr>
          <w:sz w:val="28"/>
          <w:szCs w:val="28"/>
        </w:rPr>
        <w:t xml:space="preserve">Ях, Югорск и в Березовском районе в 2024 году первичная заболеваемость наркоманией не зарегистрирована, тогда как в 2023 году она составляла 6,1; 5,0; 7,7 и 8,6 на 100 тыс. населения соответственно (абс. 1; 2; 3; и 2). </w:t>
      </w:r>
    </w:p>
    <w:p w:rsidR="00DC1467" w:rsidRDefault="00B70D3E">
      <w:pPr>
        <w:pStyle w:val="af5"/>
        <w:spacing w:after="0" w:line="276" w:lineRule="auto"/>
        <w:ind w:firstLine="709"/>
        <w:jc w:val="both"/>
        <w:rPr>
          <w:sz w:val="28"/>
          <w:szCs w:val="28"/>
        </w:rPr>
      </w:pPr>
      <w:r>
        <w:rPr>
          <w:sz w:val="28"/>
          <w:szCs w:val="28"/>
        </w:rPr>
        <w:t>Из общего числа впервые заболевших н</w:t>
      </w:r>
      <w:r>
        <w:rPr>
          <w:sz w:val="28"/>
          <w:szCs w:val="28"/>
        </w:rPr>
        <w:t>аркоманией (см. рис. 8) в 2024 году у 71,4 % больных установлен диагноз «полинаркомания» (2023 г. – 79,5 %); «зависимость от психостимуляторов» – 18,7 % (2023 г. – 11,5 %); «зависимость от каннабиноидов» – 5,5 % (2023 г. – 6,4 %); диагноз «зависимость от о</w:t>
      </w:r>
      <w:r>
        <w:rPr>
          <w:sz w:val="28"/>
          <w:szCs w:val="28"/>
        </w:rPr>
        <w:t>пиатов» (героин,</w:t>
      </w:r>
      <w:r>
        <w:rPr>
          <w:color w:val="0000FF"/>
          <w:sz w:val="28"/>
          <w:szCs w:val="28"/>
        </w:rPr>
        <w:t xml:space="preserve"> </w:t>
      </w:r>
      <w:r>
        <w:rPr>
          <w:sz w:val="28"/>
          <w:szCs w:val="28"/>
        </w:rPr>
        <w:t xml:space="preserve">морфин, дезоморфин) – 4,4 % случаев (2023 г. – 2,6 %). </w:t>
      </w:r>
    </w:p>
    <w:p w:rsidR="00DC1467" w:rsidRDefault="00B70D3E">
      <w:pPr>
        <w:pStyle w:val="af5"/>
        <w:spacing w:after="0" w:line="276" w:lineRule="auto"/>
        <w:ind w:firstLine="709"/>
        <w:jc w:val="both"/>
        <w:rPr>
          <w:sz w:val="28"/>
          <w:szCs w:val="28"/>
        </w:rPr>
      </w:pPr>
      <w:r>
        <w:rPr>
          <w:sz w:val="28"/>
          <w:szCs w:val="28"/>
        </w:rPr>
        <w:t xml:space="preserve">Таким образом, в 2024 году в сравнении с 2023 годом в структуре наркопотребления среди лиц, выявленных впервые в жизни в связи с потреблением наркотических средств на фоне увеличения </w:t>
      </w:r>
      <w:r>
        <w:rPr>
          <w:sz w:val="28"/>
          <w:szCs w:val="28"/>
        </w:rPr>
        <w:t>их абсолютного числа, отмечается увеличение доли потребления других психостимуляторов и опиоидов.</w:t>
      </w:r>
    </w:p>
    <w:p w:rsidR="00DC1467" w:rsidRDefault="00B70D3E">
      <w:pPr>
        <w:pStyle w:val="af5"/>
        <w:spacing w:after="0"/>
        <w:ind w:firstLine="0"/>
        <w:jc w:val="center"/>
        <w:rPr>
          <w:sz w:val="28"/>
          <w:szCs w:val="28"/>
        </w:rPr>
      </w:pPr>
      <w:r>
        <w:rPr>
          <w:noProof/>
          <w:sz w:val="28"/>
          <w:szCs w:val="28"/>
        </w:rPr>
        <mc:AlternateContent>
          <mc:Choice Requires="wpg">
            <w:drawing>
              <wp:inline distT="0" distB="0" distL="0" distR="0">
                <wp:extent cx="5943600" cy="2651760"/>
                <wp:effectExtent l="0" t="0" r="0" b="0"/>
                <wp:docPr id="8"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pic:cNvPicPr>
                      </pic:nvPicPr>
                      <pic:blipFill>
                        <a:blip r:embed="rId33"/>
                        <a:stretch/>
                      </pic:blipFill>
                      <pic:spPr bwMode="auto">
                        <a:xfrm>
                          <a:off x="0" y="0"/>
                          <a:ext cx="5943600" cy="2651760"/>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width:468.00pt;height:208.80pt;mso-wrap-distance-left:0.00pt;mso-wrap-distance-top:0.00pt;mso-wrap-distance-right:0.00pt;mso-wrap-distance-bottom:0.00pt;" stroked="f">
                <v:path textboxrect="0,0,0,0"/>
                <v:imagedata r:id="rId34" o:title=""/>
              </v:shape>
            </w:pict>
          </mc:Fallback>
        </mc:AlternateContent>
      </w:r>
    </w:p>
    <w:p w:rsidR="00DC1467" w:rsidRDefault="00B70D3E">
      <w:pPr>
        <w:pStyle w:val="af5"/>
        <w:spacing w:after="0"/>
        <w:ind w:firstLine="0"/>
        <w:jc w:val="center"/>
        <w:rPr>
          <w:sz w:val="28"/>
          <w:szCs w:val="28"/>
        </w:rPr>
      </w:pPr>
      <w:r>
        <w:rPr>
          <w:sz w:val="28"/>
          <w:szCs w:val="28"/>
        </w:rPr>
        <w:t xml:space="preserve">Рис. 8. Структура наркопотребления по первичной заболеваемости </w:t>
      </w:r>
      <w:r>
        <w:rPr>
          <w:sz w:val="28"/>
          <w:szCs w:val="28"/>
        </w:rPr>
        <w:br/>
        <w:t>в 2023-2024 гг.</w:t>
      </w:r>
    </w:p>
    <w:p w:rsidR="00DC1467" w:rsidRDefault="00DC1467">
      <w:pPr>
        <w:pStyle w:val="af5"/>
        <w:spacing w:after="0" w:line="276" w:lineRule="auto"/>
        <w:ind w:firstLine="0"/>
        <w:jc w:val="center"/>
        <w:rPr>
          <w:sz w:val="28"/>
          <w:szCs w:val="28"/>
        </w:rPr>
      </w:pPr>
    </w:p>
    <w:p w:rsidR="00DC1467" w:rsidRDefault="00B70D3E">
      <w:pPr>
        <w:pStyle w:val="af5"/>
        <w:spacing w:after="0" w:line="276" w:lineRule="auto"/>
        <w:ind w:firstLine="709"/>
        <w:jc w:val="both"/>
        <w:rPr>
          <w:sz w:val="28"/>
          <w:szCs w:val="28"/>
        </w:rPr>
      </w:pPr>
      <w:r>
        <w:rPr>
          <w:sz w:val="28"/>
          <w:szCs w:val="28"/>
        </w:rPr>
        <w:t>Соотношение лиц, зарегистрированных впервые в жизни с «синдромом зависимости от наркотиков», по полу составило в 2024 году М : Ж = 3,1 : 1, в процентном соотношении 75,8 % – мужчин и 24,2 % – женщин. В 2023 году соотношение М : Ж = 3,3 : 1, в процентном со</w:t>
      </w:r>
      <w:r>
        <w:rPr>
          <w:sz w:val="28"/>
          <w:szCs w:val="28"/>
        </w:rPr>
        <w:t>отношении 76,9  % – мужчин и 23,1 % – женщин. Данная динамика отражает относительное сохранение доли мужчин, зарегистрированных с наркоманией впервые в жизни, на фоне увеличения общего числа новых случаев наркомании. (см. рис. 9).</w:t>
      </w:r>
    </w:p>
    <w:p w:rsidR="00DC1467" w:rsidRDefault="00DC1467">
      <w:pPr>
        <w:pStyle w:val="af5"/>
        <w:spacing w:after="0" w:line="276" w:lineRule="auto"/>
        <w:ind w:firstLine="709"/>
        <w:jc w:val="both"/>
        <w:rPr>
          <w:sz w:val="28"/>
          <w:szCs w:val="28"/>
        </w:rPr>
      </w:pPr>
    </w:p>
    <w:p w:rsidR="00DC1467" w:rsidRDefault="00B70D3E">
      <w:pPr>
        <w:pStyle w:val="af5"/>
        <w:spacing w:after="0"/>
        <w:ind w:firstLine="0"/>
        <w:jc w:val="center"/>
        <w:rPr>
          <w:sz w:val="28"/>
          <w:szCs w:val="28"/>
        </w:rPr>
      </w:pPr>
      <w:r>
        <w:rPr>
          <w:noProof/>
          <w:sz w:val="28"/>
          <w:szCs w:val="28"/>
        </w:rPr>
        <mc:AlternateContent>
          <mc:Choice Requires="wpg">
            <w:drawing>
              <wp:inline distT="0" distB="0" distL="0" distR="0">
                <wp:extent cx="5943600" cy="3017520"/>
                <wp:effectExtent l="0" t="0" r="0" b="0"/>
                <wp:docPr id="9"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pic:cNvPicPr>
                      </pic:nvPicPr>
                      <pic:blipFill>
                        <a:blip r:embed="rId35"/>
                        <a:stretch/>
                      </pic:blipFill>
                      <pic:spPr bwMode="auto">
                        <a:xfrm>
                          <a:off x="0" y="0"/>
                          <a:ext cx="5943600" cy="3017519"/>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 o:spid="_x0000_s8" type="#_x0000_t75" style="width:468.00pt;height:237.60pt;mso-wrap-distance-left:0.00pt;mso-wrap-distance-top:0.00pt;mso-wrap-distance-right:0.00pt;mso-wrap-distance-bottom:0.00pt;" stroked="f">
                <v:path textboxrect="0,0,0,0"/>
                <v:imagedata r:id="rId36" o:title=""/>
              </v:shape>
            </w:pict>
          </mc:Fallback>
        </mc:AlternateContent>
      </w:r>
    </w:p>
    <w:p w:rsidR="00DC1467" w:rsidRDefault="00DC1467">
      <w:pPr>
        <w:pStyle w:val="af3"/>
        <w:widowControl w:val="0"/>
        <w:spacing w:after="0"/>
        <w:jc w:val="center"/>
        <w:rPr>
          <w:sz w:val="28"/>
          <w:szCs w:val="28"/>
        </w:rPr>
      </w:pPr>
    </w:p>
    <w:p w:rsidR="00DC1467" w:rsidRDefault="00B70D3E">
      <w:pPr>
        <w:pStyle w:val="af3"/>
        <w:widowControl w:val="0"/>
        <w:spacing w:after="0"/>
        <w:jc w:val="center"/>
        <w:rPr>
          <w:sz w:val="28"/>
          <w:szCs w:val="28"/>
        </w:rPr>
      </w:pPr>
      <w:r>
        <w:rPr>
          <w:sz w:val="28"/>
          <w:szCs w:val="28"/>
        </w:rPr>
        <w:t>Рис. 9. Соотношение з</w:t>
      </w:r>
      <w:r>
        <w:rPr>
          <w:sz w:val="28"/>
          <w:szCs w:val="28"/>
        </w:rPr>
        <w:t>арегистрированных впервые в жизни наркозависимых по полу в 2023-2024 гг. (в % от общего числа наркозависимых зарегистрированных впервые в жизни; абс.)</w:t>
      </w:r>
    </w:p>
    <w:p w:rsidR="00DC1467" w:rsidRDefault="00DC1467">
      <w:pPr>
        <w:pStyle w:val="af5"/>
        <w:spacing w:after="0" w:line="276" w:lineRule="auto"/>
        <w:ind w:firstLine="709"/>
        <w:jc w:val="both"/>
        <w:rPr>
          <w:sz w:val="28"/>
          <w:szCs w:val="28"/>
        </w:rPr>
      </w:pPr>
    </w:p>
    <w:p w:rsidR="00DC1467" w:rsidRDefault="00B70D3E">
      <w:pPr>
        <w:pStyle w:val="af5"/>
        <w:spacing w:after="0" w:line="276" w:lineRule="auto"/>
        <w:ind w:firstLine="709"/>
        <w:jc w:val="both"/>
        <w:rPr>
          <w:sz w:val="28"/>
          <w:szCs w:val="28"/>
        </w:rPr>
      </w:pPr>
      <w:r>
        <w:rPr>
          <w:sz w:val="28"/>
          <w:szCs w:val="28"/>
        </w:rPr>
        <w:t>В структуре первичной заболеваемости наркоманией в 2024 году, так же как и в 2023 году, несовершеннолетн</w:t>
      </w:r>
      <w:r>
        <w:rPr>
          <w:sz w:val="28"/>
          <w:szCs w:val="28"/>
        </w:rPr>
        <w:t>их не зарегистрировано.</w:t>
      </w:r>
    </w:p>
    <w:p w:rsidR="00DC1467" w:rsidRDefault="00B70D3E">
      <w:pPr>
        <w:pStyle w:val="af5"/>
        <w:spacing w:after="0" w:line="276" w:lineRule="auto"/>
        <w:ind w:firstLine="709"/>
        <w:jc w:val="both"/>
        <w:rPr>
          <w:sz w:val="28"/>
          <w:szCs w:val="28"/>
        </w:rPr>
      </w:pPr>
      <w:r>
        <w:rPr>
          <w:sz w:val="28"/>
          <w:szCs w:val="28"/>
        </w:rPr>
        <w:t xml:space="preserve">Превалирующая возрастная группа среди зарегистрированных впервые в жизни наркозависимых лиц – 20-39 лет, или 71,4 % (в 2023 г. – 75,6 %), </w:t>
      </w:r>
      <w:r>
        <w:rPr>
          <w:sz w:val="28"/>
          <w:szCs w:val="28"/>
        </w:rPr>
        <w:br/>
        <w:t xml:space="preserve">с увеличением доли лиц в возрасте 40-59 лет до 27,5 % (в 2023 г. – 23,1%) </w:t>
      </w:r>
      <w:r>
        <w:rPr>
          <w:sz w:val="28"/>
          <w:szCs w:val="28"/>
        </w:rPr>
        <w:br/>
        <w:t>(см. рис. 10).</w:t>
      </w:r>
    </w:p>
    <w:p w:rsidR="00DC1467" w:rsidRDefault="00DC1467">
      <w:pPr>
        <w:pStyle w:val="af5"/>
        <w:spacing w:after="0" w:line="276" w:lineRule="auto"/>
        <w:ind w:firstLine="709"/>
        <w:jc w:val="both"/>
        <w:rPr>
          <w:sz w:val="28"/>
          <w:szCs w:val="28"/>
        </w:rPr>
      </w:pPr>
    </w:p>
    <w:p w:rsidR="00DC1467" w:rsidRDefault="00B70D3E">
      <w:pPr>
        <w:pStyle w:val="af5"/>
        <w:spacing w:after="0"/>
        <w:ind w:firstLine="0"/>
        <w:jc w:val="center"/>
        <w:rPr>
          <w:sz w:val="28"/>
          <w:szCs w:val="28"/>
        </w:rPr>
      </w:pPr>
      <w:r>
        <w:rPr>
          <w:noProof/>
          <w:sz w:val="28"/>
          <w:szCs w:val="28"/>
        </w:rPr>
        <mc:AlternateContent>
          <mc:Choice Requires="wpg">
            <w:drawing>
              <wp:inline distT="0" distB="0" distL="0" distR="0">
                <wp:extent cx="5932170" cy="3032125"/>
                <wp:effectExtent l="0" t="0" r="0" b="0"/>
                <wp:docPr id="10"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pic:cNvPicPr>
                      </pic:nvPicPr>
                      <pic:blipFill>
                        <a:blip r:embed="rId37"/>
                        <a:stretch/>
                      </pic:blipFill>
                      <pic:spPr bwMode="auto">
                        <a:xfrm>
                          <a:off x="0" y="0"/>
                          <a:ext cx="5932170" cy="3032125"/>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 o:spid="_x0000_s9" type="#_x0000_t75" style="width:467.10pt;height:238.75pt;mso-wrap-distance-left:0.00pt;mso-wrap-distance-top:0.00pt;mso-wrap-distance-right:0.00pt;mso-wrap-distance-bottom:0.00pt;" stroked="f">
                <v:path textboxrect="0,0,0,0"/>
                <v:imagedata r:id="rId38" o:title=""/>
              </v:shape>
            </w:pict>
          </mc:Fallback>
        </mc:AlternateContent>
      </w:r>
    </w:p>
    <w:p w:rsidR="00DC1467" w:rsidRDefault="00B70D3E">
      <w:pPr>
        <w:pStyle w:val="af3"/>
        <w:widowControl w:val="0"/>
        <w:spacing w:after="0"/>
        <w:jc w:val="center"/>
        <w:rPr>
          <w:sz w:val="28"/>
          <w:szCs w:val="28"/>
        </w:rPr>
      </w:pPr>
      <w:r>
        <w:rPr>
          <w:sz w:val="28"/>
          <w:szCs w:val="28"/>
        </w:rPr>
        <w:t>Рис. 10. Соотношение зарегистрированных впервые в жизни наркозависимых по возрасту в 2023-2024 гг. (в % от общего числа зарегистрированных впервые в жизни наркозависимых в соответствующем году)</w:t>
      </w:r>
    </w:p>
    <w:p w:rsidR="00DC1467" w:rsidRDefault="00DC1467">
      <w:pPr>
        <w:pStyle w:val="af3"/>
        <w:widowControl w:val="0"/>
        <w:spacing w:after="0" w:line="276" w:lineRule="auto"/>
        <w:ind w:firstLine="709"/>
        <w:jc w:val="both"/>
        <w:rPr>
          <w:sz w:val="28"/>
          <w:szCs w:val="28"/>
        </w:rPr>
      </w:pPr>
    </w:p>
    <w:p w:rsidR="00DC1467" w:rsidRDefault="00B70D3E">
      <w:pPr>
        <w:pStyle w:val="af3"/>
        <w:widowControl w:val="0"/>
        <w:spacing w:after="0" w:line="276" w:lineRule="auto"/>
        <w:ind w:firstLine="709"/>
        <w:jc w:val="both"/>
        <w:rPr>
          <w:sz w:val="28"/>
          <w:szCs w:val="28"/>
        </w:rPr>
      </w:pPr>
      <w:r>
        <w:rPr>
          <w:sz w:val="28"/>
          <w:szCs w:val="28"/>
        </w:rPr>
        <w:t>В связи со смертью с диспансерного наблюдения в 2024 году сня</w:t>
      </w:r>
      <w:r>
        <w:rPr>
          <w:sz w:val="28"/>
          <w:szCs w:val="28"/>
        </w:rPr>
        <w:t xml:space="preserve">то 49 больных наркоманией, что выше показателя 2023 года на 3 случая </w:t>
      </w:r>
      <w:r>
        <w:rPr>
          <w:sz w:val="28"/>
          <w:szCs w:val="28"/>
        </w:rPr>
        <w:br/>
        <w:t>(46). В структуре причин смерти (см. рис. 11) в 2024 году: соматические заболевания – 46 случаев (93,9 %; в 2023 г. – 46 случаев, 100,0 %); самоубийство – 2 случая (4,1 %); другие причин</w:t>
      </w:r>
      <w:r>
        <w:rPr>
          <w:sz w:val="28"/>
          <w:szCs w:val="28"/>
        </w:rPr>
        <w:t xml:space="preserve">ы – 1 случай (2,0 %). </w:t>
      </w:r>
    </w:p>
    <w:p w:rsidR="00DC1467" w:rsidRDefault="00B70D3E">
      <w:pPr>
        <w:pStyle w:val="af5"/>
        <w:spacing w:after="0"/>
        <w:ind w:firstLine="0"/>
        <w:jc w:val="center"/>
        <w:rPr>
          <w:sz w:val="28"/>
          <w:szCs w:val="28"/>
        </w:rPr>
      </w:pPr>
      <w:r>
        <w:rPr>
          <w:noProof/>
          <w:sz w:val="28"/>
          <w:szCs w:val="28"/>
        </w:rPr>
        <mc:AlternateContent>
          <mc:Choice Requires="wpg">
            <w:drawing>
              <wp:inline distT="0" distB="0" distL="0" distR="0">
                <wp:extent cx="5932170" cy="3641725"/>
                <wp:effectExtent l="0" t="0" r="0" b="0"/>
                <wp:docPr id="11"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pic:cNvPicPr>
                      </pic:nvPicPr>
                      <pic:blipFill>
                        <a:blip r:embed="rId39"/>
                        <a:stretch/>
                      </pic:blipFill>
                      <pic:spPr bwMode="auto">
                        <a:xfrm>
                          <a:off x="0" y="0"/>
                          <a:ext cx="5932170" cy="3641725"/>
                        </a:xfrm>
                        <a:prstGeom prst="rect">
                          <a:avLst/>
                        </a:prstGeom>
                        <a:noFill/>
                        <a:ln>
                          <a:noFill/>
                          <a:beve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 o:spid="_x0000_s10" type="#_x0000_t75" style="width:467.10pt;height:286.75pt;mso-wrap-distance-left:0.00pt;mso-wrap-distance-top:0.00pt;mso-wrap-distance-right:0.00pt;mso-wrap-distance-bottom:0.00pt;" stroked="f">
                <v:path textboxrect="0,0,0,0"/>
                <v:imagedata r:id="rId40" o:title=""/>
              </v:shape>
            </w:pict>
          </mc:Fallback>
        </mc:AlternateContent>
      </w:r>
    </w:p>
    <w:p w:rsidR="00DC1467" w:rsidRDefault="00B70D3E">
      <w:pPr>
        <w:pStyle w:val="af5"/>
        <w:spacing w:after="0"/>
        <w:ind w:firstLine="0"/>
        <w:jc w:val="center"/>
        <w:rPr>
          <w:sz w:val="28"/>
          <w:szCs w:val="28"/>
        </w:rPr>
      </w:pPr>
      <w:r>
        <w:rPr>
          <w:sz w:val="28"/>
          <w:szCs w:val="28"/>
        </w:rPr>
        <w:t xml:space="preserve">Рис. 11. Причины смерти больных наркоманией, </w:t>
      </w:r>
      <w:r>
        <w:rPr>
          <w:sz w:val="28"/>
          <w:szCs w:val="28"/>
        </w:rPr>
        <w:br/>
        <w:t>снятых с наблюдения в 2023 - 2024 гг.</w:t>
      </w:r>
    </w:p>
    <w:p w:rsidR="00DC1467" w:rsidRDefault="00DC1467">
      <w:pPr>
        <w:pStyle w:val="af5"/>
        <w:spacing w:after="0" w:line="276" w:lineRule="auto"/>
        <w:ind w:firstLine="709"/>
        <w:jc w:val="both"/>
        <w:rPr>
          <w:sz w:val="28"/>
          <w:szCs w:val="28"/>
        </w:rPr>
      </w:pPr>
    </w:p>
    <w:p w:rsidR="00DC1467" w:rsidRDefault="00B70D3E">
      <w:pPr>
        <w:pStyle w:val="af5"/>
        <w:spacing w:after="0" w:line="276" w:lineRule="auto"/>
        <w:ind w:firstLine="709"/>
        <w:jc w:val="both"/>
        <w:rPr>
          <w:sz w:val="28"/>
          <w:szCs w:val="28"/>
        </w:rPr>
      </w:pPr>
      <w:r>
        <w:rPr>
          <w:sz w:val="28"/>
          <w:szCs w:val="28"/>
        </w:rPr>
        <w:t>Доля лиц с наркоманией, снятых с диспансерного наблюдения в связи со смертью, составила в 2024 году 3,5 на 100 больных среднегодового контингента,</w:t>
      </w:r>
      <w:r>
        <w:rPr>
          <w:sz w:val="28"/>
          <w:szCs w:val="28"/>
        </w:rPr>
        <w:t xml:space="preserve"> что на 12,9 % больше, чем в 2023 году – 3,1 на 100 среднегодовых больных. </w:t>
      </w:r>
    </w:p>
    <w:p w:rsidR="00DC1467" w:rsidRDefault="00B70D3E">
      <w:pPr>
        <w:pStyle w:val="af5"/>
        <w:spacing w:after="0" w:line="276" w:lineRule="auto"/>
        <w:ind w:firstLine="709"/>
        <w:jc w:val="both"/>
        <w:rPr>
          <w:sz w:val="28"/>
          <w:szCs w:val="28"/>
        </w:rPr>
      </w:pPr>
      <w:r>
        <w:rPr>
          <w:sz w:val="28"/>
          <w:szCs w:val="28"/>
        </w:rPr>
        <w:t>Последнее десятилетие в наркологической ситуации в автономном округе формируется тенденция по употреблению синтетических наркотиков и их сочетаний, а также употреблению опиоидных н</w:t>
      </w:r>
      <w:r>
        <w:rPr>
          <w:sz w:val="28"/>
          <w:szCs w:val="28"/>
        </w:rPr>
        <w:t>аркотиков.</w:t>
      </w:r>
    </w:p>
    <w:p w:rsidR="00DC1467" w:rsidRDefault="00B70D3E">
      <w:pPr>
        <w:pStyle w:val="af3"/>
        <w:widowControl w:val="0"/>
        <w:spacing w:after="0" w:line="276" w:lineRule="auto"/>
        <w:ind w:firstLine="709"/>
        <w:jc w:val="both"/>
        <w:rPr>
          <w:sz w:val="28"/>
          <w:szCs w:val="28"/>
        </w:rPr>
      </w:pPr>
      <w:r>
        <w:rPr>
          <w:sz w:val="28"/>
          <w:szCs w:val="28"/>
        </w:rPr>
        <w:t>Анализируя динамику распространенности наркомании в Югре, прежде всего, необходимо отметить стабильное снижение данного показателя в течение последнего десятилетия. Уровень болезненности наркоманией в автономном округе по сравнению со средним ур</w:t>
      </w:r>
      <w:r>
        <w:rPr>
          <w:sz w:val="28"/>
          <w:szCs w:val="28"/>
        </w:rPr>
        <w:t>овнем по Российской Федерации ниже. Это обусловлено доступностью государственной наркологической помощи, умеренной выявляемостью наркологических расстройств среди населения (что в свою очередь связано с высоким удельным весом городского населения (более 92</w:t>
      </w:r>
      <w:r>
        <w:rPr>
          <w:sz w:val="28"/>
          <w:szCs w:val="28"/>
        </w:rPr>
        <w:t xml:space="preserve">,3 %), оснащенностью наркологической службы, большим охватом трудоспособного населения предварительными и периодическими медицинскими осмотрами. </w:t>
      </w:r>
    </w:p>
    <w:p w:rsidR="00DC1467" w:rsidRDefault="00B70D3E">
      <w:pPr>
        <w:pStyle w:val="af3"/>
        <w:widowControl w:val="0"/>
        <w:spacing w:after="0" w:line="283" w:lineRule="auto"/>
        <w:ind w:firstLine="709"/>
        <w:jc w:val="both"/>
        <w:rPr>
          <w:sz w:val="28"/>
          <w:szCs w:val="28"/>
        </w:rPr>
      </w:pPr>
      <w:r>
        <w:rPr>
          <w:sz w:val="28"/>
          <w:szCs w:val="28"/>
        </w:rPr>
        <w:t>Важно отметить, что за последние 10 лет число потребителей наркотических средств и психотропных веществ объект</w:t>
      </w:r>
      <w:r>
        <w:rPr>
          <w:sz w:val="28"/>
          <w:szCs w:val="28"/>
        </w:rPr>
        <w:t xml:space="preserve">ивно уменьшилось в связи с проводимой мультидисциплинарной профилактической работой на межведомственном уровне. </w:t>
      </w:r>
    </w:p>
    <w:p w:rsidR="00DC1467" w:rsidRDefault="00B70D3E">
      <w:pPr>
        <w:pStyle w:val="af3"/>
        <w:widowControl w:val="0"/>
        <w:spacing w:after="0" w:line="283" w:lineRule="auto"/>
        <w:ind w:firstLine="709"/>
        <w:jc w:val="both"/>
        <w:rPr>
          <w:sz w:val="28"/>
          <w:szCs w:val="28"/>
        </w:rPr>
      </w:pPr>
      <w:r>
        <w:rPr>
          <w:sz w:val="28"/>
          <w:szCs w:val="28"/>
        </w:rPr>
        <w:t>В силу изменений и поправок к Порядку диспансерного наблюдения за лицами с психическими расстройствами и (или) расстройствами поведения, связан</w:t>
      </w:r>
      <w:r>
        <w:rPr>
          <w:sz w:val="28"/>
          <w:szCs w:val="28"/>
        </w:rPr>
        <w:t>ными с употреблением психоактивных веществ, внесенных приказом Минздрава РФ от 30.07.2019 № 573н</w:t>
      </w:r>
      <w:r>
        <w:rPr>
          <w:rStyle w:val="af1"/>
          <w:sz w:val="28"/>
          <w:szCs w:val="28"/>
        </w:rPr>
        <w:footnoteReference w:id="29"/>
      </w:r>
      <w:r>
        <w:rPr>
          <w:rStyle w:val="af1"/>
          <w:sz w:val="28"/>
          <w:szCs w:val="28"/>
          <w:vertAlign w:val="baseline"/>
        </w:rPr>
        <w:t xml:space="preserve"> </w:t>
      </w:r>
      <w:r>
        <w:rPr>
          <w:sz w:val="28"/>
          <w:szCs w:val="28"/>
          <w:highlight w:val="white"/>
        </w:rPr>
        <w:t>(далее – Порядок диспансерного наблюдения)</w:t>
      </w:r>
      <w:r>
        <w:rPr>
          <w:sz w:val="28"/>
          <w:szCs w:val="28"/>
        </w:rPr>
        <w:t>, утратило силу положение о снятии с диспансерного наблюдения лиц с наркологическими расстройствами в связи с отсутс</w:t>
      </w:r>
      <w:r>
        <w:rPr>
          <w:sz w:val="28"/>
          <w:szCs w:val="28"/>
        </w:rPr>
        <w:t>твием сведений и в результате осуждения пациента к лишению свободы на срок свыше 1 года.</w:t>
      </w:r>
    </w:p>
    <w:p w:rsidR="00DC1467" w:rsidRDefault="00B70D3E">
      <w:pPr>
        <w:pStyle w:val="af3"/>
        <w:widowControl w:val="0"/>
        <w:spacing w:after="0" w:line="283" w:lineRule="auto"/>
        <w:ind w:firstLine="709"/>
        <w:jc w:val="both"/>
        <w:rPr>
          <w:sz w:val="28"/>
          <w:szCs w:val="28"/>
        </w:rPr>
      </w:pPr>
      <w:r>
        <w:rPr>
          <w:sz w:val="28"/>
          <w:szCs w:val="28"/>
        </w:rPr>
        <w:t>Статистический учет больных наркоманий, регламентированный приказом Минздрава РФ от 30.07.2019 № 573н, соответствует приказу Росстата от 22.11.2010 № 409 «Об утвержден</w:t>
      </w:r>
      <w:r>
        <w:rPr>
          <w:sz w:val="28"/>
          <w:szCs w:val="28"/>
        </w:rPr>
        <w:t>ии практического инструктивно-методического пособия по статистике здравоохранения», в соответствии с которым заболевание регистрируется медицинской организацией только при обращении пациента за медицинской помощью.</w:t>
      </w:r>
    </w:p>
    <w:p w:rsidR="00DC1467" w:rsidRDefault="00B70D3E">
      <w:pPr>
        <w:pStyle w:val="af3"/>
        <w:widowControl w:val="0"/>
        <w:spacing w:after="0" w:line="283" w:lineRule="auto"/>
        <w:ind w:firstLine="709"/>
        <w:jc w:val="both"/>
        <w:rPr>
          <w:sz w:val="28"/>
          <w:szCs w:val="28"/>
        </w:rPr>
      </w:pPr>
      <w:r>
        <w:rPr>
          <w:sz w:val="28"/>
          <w:szCs w:val="28"/>
        </w:rPr>
        <w:t>Дополнительно в соответствии с действующи</w:t>
      </w:r>
      <w:r>
        <w:rPr>
          <w:sz w:val="28"/>
          <w:szCs w:val="28"/>
        </w:rPr>
        <w:t>м федеральным законодательством диспансерное наблюдение над пациентами устанавливается при наличии следующих условий: получение от пациента в письменной форме добровольного информированного согласия на лечение и диспансерное наблюдение; установление наркол</w:t>
      </w:r>
      <w:r>
        <w:rPr>
          <w:sz w:val="28"/>
          <w:szCs w:val="28"/>
        </w:rPr>
        <w:t xml:space="preserve">огического диагноза. </w:t>
      </w:r>
    </w:p>
    <w:p w:rsidR="00DC1467" w:rsidRDefault="00B70D3E">
      <w:pPr>
        <w:pStyle w:val="af3"/>
        <w:widowControl w:val="0"/>
        <w:spacing w:after="0" w:line="283" w:lineRule="auto"/>
        <w:ind w:firstLine="709"/>
        <w:jc w:val="both"/>
        <w:rPr>
          <w:sz w:val="28"/>
          <w:szCs w:val="28"/>
        </w:rPr>
      </w:pPr>
      <w:r>
        <w:rPr>
          <w:sz w:val="28"/>
          <w:szCs w:val="28"/>
        </w:rPr>
        <w:t>Доля лиц с наркоманией, снятых с диспансерного наблюдения в связи с выздоровлением (длительным воздержанием), составила в 2024 году 5,8 на 100 больных среднегодового контингента, что на 25,6 % меньше, чем в 2023 году – 7,8 на 100 сред</w:t>
      </w:r>
      <w:r>
        <w:rPr>
          <w:sz w:val="28"/>
          <w:szCs w:val="28"/>
        </w:rPr>
        <w:t>негодовых больных. Данный показатель отражает уменьшение числа лиц, снятых с наблюдения в связи с выздоровлением, в сравнении с числом лиц, находившихся под наблюдением в течение года, выраженное на 100 больных среднегодового контингента. Для сравнения: да</w:t>
      </w:r>
      <w:r>
        <w:rPr>
          <w:sz w:val="28"/>
          <w:szCs w:val="28"/>
        </w:rPr>
        <w:t xml:space="preserve">нный показатель по РФ в 2022 году составлял 3,1; по УрФО – 5,6 на 100 больных среднегодового контингента. </w:t>
      </w:r>
    </w:p>
    <w:p w:rsidR="00DC1467" w:rsidRDefault="00B70D3E">
      <w:pPr>
        <w:pStyle w:val="af3"/>
        <w:widowControl w:val="0"/>
        <w:spacing w:after="0" w:line="283" w:lineRule="auto"/>
        <w:ind w:firstLine="709"/>
        <w:jc w:val="both"/>
        <w:rPr>
          <w:sz w:val="28"/>
          <w:szCs w:val="28"/>
        </w:rPr>
      </w:pPr>
      <w:r>
        <w:rPr>
          <w:sz w:val="28"/>
          <w:szCs w:val="28"/>
        </w:rPr>
        <w:t xml:space="preserve">Рассматривая динамику показателей общей и первичной заболеваемости наркоманией за 2024 год, можно сделать следующие выводы. </w:t>
      </w:r>
    </w:p>
    <w:p w:rsidR="00DC1467" w:rsidRDefault="00B70D3E">
      <w:pPr>
        <w:pStyle w:val="af3"/>
        <w:widowControl w:val="0"/>
        <w:spacing w:after="0" w:line="283" w:lineRule="auto"/>
        <w:ind w:firstLine="709"/>
        <w:jc w:val="both"/>
        <w:rPr>
          <w:sz w:val="28"/>
          <w:szCs w:val="28"/>
        </w:rPr>
      </w:pPr>
      <w:r>
        <w:rPr>
          <w:sz w:val="28"/>
          <w:szCs w:val="28"/>
        </w:rPr>
        <w:t>Имеет место снижение общ</w:t>
      </w:r>
      <w:r>
        <w:rPr>
          <w:sz w:val="28"/>
          <w:szCs w:val="28"/>
        </w:rPr>
        <w:t>ей заболеваемости наркоманией среди всего населения, при ее отсутствии среди несовершеннолетних, увеличение первичной заболеваемости наркоманией среди всего населения и отсутствие ее среди несовершеннолетних за последние 3 года.</w:t>
      </w:r>
    </w:p>
    <w:p w:rsidR="00DC1467" w:rsidRDefault="00B70D3E">
      <w:pPr>
        <w:pStyle w:val="af3"/>
        <w:widowControl w:val="0"/>
        <w:spacing w:after="0" w:line="283" w:lineRule="auto"/>
        <w:ind w:firstLine="709"/>
        <w:jc w:val="both"/>
        <w:rPr>
          <w:sz w:val="28"/>
          <w:szCs w:val="28"/>
        </w:rPr>
      </w:pPr>
      <w:r>
        <w:rPr>
          <w:sz w:val="28"/>
          <w:szCs w:val="28"/>
        </w:rPr>
        <w:t>Меры, направленные на сниже</w:t>
      </w:r>
      <w:r>
        <w:rPr>
          <w:sz w:val="28"/>
          <w:szCs w:val="28"/>
        </w:rPr>
        <w:t>ние распространения наркопотребления, лечебно-профилактические мероприятия для людей с наркотической зависимостью и реабилитационные программы средней и долгосрочной перспективы способствовали стабилизации доли впервые взятых под наблюдение от общего числа</w:t>
      </w:r>
      <w:r>
        <w:rPr>
          <w:sz w:val="28"/>
          <w:szCs w:val="28"/>
        </w:rPr>
        <w:t xml:space="preserve"> наблюдаемых в 2023-2024 годах.</w:t>
      </w:r>
    </w:p>
    <w:p w:rsidR="00DC1467" w:rsidRDefault="00B70D3E">
      <w:pPr>
        <w:pStyle w:val="af3"/>
        <w:widowControl w:val="0"/>
        <w:spacing w:after="0" w:line="283" w:lineRule="auto"/>
        <w:ind w:firstLine="709"/>
        <w:jc w:val="both"/>
        <w:rPr>
          <w:sz w:val="28"/>
          <w:szCs w:val="28"/>
        </w:rPr>
      </w:pPr>
      <w:r>
        <w:rPr>
          <w:sz w:val="28"/>
          <w:szCs w:val="28"/>
        </w:rPr>
        <w:t>Рост числа впервые выявленных потребителей наркотиков с синдромом зависимости, которые ранее не попадали в поле зрения наркологической службы, объясняется несколькими факторами: потоки учебной и трудовой миграции населения в</w:t>
      </w:r>
      <w:r>
        <w:rPr>
          <w:sz w:val="28"/>
          <w:szCs w:val="28"/>
        </w:rPr>
        <w:t xml:space="preserve"> населенные пункты автономного округа; активное межведомственное сотрудничество с правоохранительными органами, системой образования и другими субъектами профилактики; изменение подходов к проведению профилактических медицинских осмотров с использованием о</w:t>
      </w:r>
      <w:r>
        <w:rPr>
          <w:sz w:val="28"/>
          <w:szCs w:val="28"/>
        </w:rPr>
        <w:t>бязательных и дополнительных диагностических методов для определения психоактивных веществ в организме человека.</w:t>
      </w:r>
    </w:p>
    <w:p w:rsidR="00DC1467" w:rsidRDefault="00B70D3E">
      <w:pPr>
        <w:pStyle w:val="af3"/>
        <w:widowControl w:val="0"/>
        <w:spacing w:after="0" w:line="283" w:lineRule="auto"/>
        <w:ind w:firstLine="709"/>
        <w:jc w:val="both"/>
        <w:rPr>
          <w:sz w:val="28"/>
          <w:szCs w:val="28"/>
        </w:rPr>
      </w:pPr>
      <w:r>
        <w:rPr>
          <w:sz w:val="28"/>
          <w:szCs w:val="28"/>
        </w:rPr>
        <w:t>Анализ изменения структуры наркопотребления показывает превалирование доли потребителей синтетических наркотиков, учитываемых в диагностической</w:t>
      </w:r>
      <w:r>
        <w:rPr>
          <w:sz w:val="28"/>
          <w:szCs w:val="28"/>
        </w:rPr>
        <w:t xml:space="preserve"> группе «потребители других наркотических веществ (полинаркомания)».</w:t>
      </w:r>
    </w:p>
    <w:p w:rsidR="00DC1467" w:rsidRDefault="00DC1467">
      <w:pPr>
        <w:pStyle w:val="af3"/>
        <w:widowControl w:val="0"/>
        <w:spacing w:after="0" w:line="283" w:lineRule="auto"/>
        <w:ind w:firstLine="709"/>
        <w:jc w:val="both"/>
        <w:rPr>
          <w:sz w:val="28"/>
          <w:szCs w:val="28"/>
          <w:highlight w:val="yellow"/>
        </w:rPr>
      </w:pPr>
    </w:p>
    <w:p w:rsidR="00DC1467" w:rsidRDefault="00B70D3E">
      <w:pPr>
        <w:pStyle w:val="af5"/>
        <w:spacing w:after="0" w:line="283" w:lineRule="auto"/>
        <w:ind w:firstLine="709"/>
        <w:jc w:val="both"/>
        <w:outlineLvl w:val="1"/>
        <w:rPr>
          <w:b/>
          <w:i/>
          <w:sz w:val="28"/>
          <w:szCs w:val="28"/>
        </w:rPr>
      </w:pPr>
      <w:r>
        <w:rPr>
          <w:b/>
          <w:i/>
          <w:sz w:val="28"/>
          <w:szCs w:val="28"/>
        </w:rPr>
        <w:t>Анализ динамики общей распространённости пагубного употребления наркотиков</w:t>
      </w:r>
    </w:p>
    <w:p w:rsidR="00DC1467" w:rsidRDefault="00B70D3E">
      <w:pPr>
        <w:pStyle w:val="af5"/>
        <w:spacing w:after="0" w:line="283" w:lineRule="auto"/>
        <w:ind w:firstLine="709"/>
        <w:jc w:val="both"/>
        <w:rPr>
          <w:sz w:val="28"/>
          <w:szCs w:val="28"/>
        </w:rPr>
      </w:pPr>
      <w:r>
        <w:rPr>
          <w:sz w:val="28"/>
          <w:szCs w:val="28"/>
        </w:rPr>
        <w:t xml:space="preserve">Количество лиц, зарегистрированных с диагнозом «употребление наркотических </w:t>
      </w:r>
      <w:r>
        <w:rPr>
          <w:sz w:val="28"/>
          <w:szCs w:val="28"/>
        </w:rPr>
        <w:t xml:space="preserve">веществ с вредными последствиями» (т.е. потребление с ущербом для физического или психического здоровья, но с еще не сформированным синдромом зависимости), составило в 2024 году 843 человека, или 47,9 на 100 тыс. населения. В 2023 году их число составляло </w:t>
      </w:r>
      <w:r>
        <w:rPr>
          <w:sz w:val="28"/>
          <w:szCs w:val="28"/>
        </w:rPr>
        <w:t xml:space="preserve">912 человек, или 52,3 на 100 тыс. населения. Уменьшение составило 8,4 % (см. рис. 12). Распространенность пагубного употребления наркотиков в целом по ХМАО – Югре ниже, чем в РФ, в 2,3 раза (111,2 на 100 тыс. населения в 2022 г.), и ниже в 2,0 раза, чем в </w:t>
      </w:r>
      <w:r>
        <w:rPr>
          <w:sz w:val="28"/>
          <w:szCs w:val="28"/>
        </w:rPr>
        <w:t>УрФО (98,5 на 100 тыс. населения в 2022 г.).</w:t>
      </w:r>
    </w:p>
    <w:p w:rsidR="00DC1467" w:rsidRDefault="00B70D3E">
      <w:pPr>
        <w:pStyle w:val="af5"/>
        <w:spacing w:after="0"/>
        <w:ind w:firstLine="0"/>
        <w:jc w:val="center"/>
        <w:rPr>
          <w:sz w:val="28"/>
          <w:szCs w:val="28"/>
        </w:rPr>
      </w:pPr>
      <w:r>
        <w:rPr>
          <w:noProof/>
          <w:sz w:val="28"/>
          <w:szCs w:val="28"/>
        </w:rPr>
        <mc:AlternateContent>
          <mc:Choice Requires="wpg">
            <w:drawing>
              <wp:inline distT="0" distB="0" distL="0" distR="0">
                <wp:extent cx="5924550" cy="2747287"/>
                <wp:effectExtent l="0" t="0" r="0" b="0"/>
                <wp:docPr id="12"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pic:cNvPicPr>
                      </pic:nvPicPr>
                      <pic:blipFill>
                        <a:blip r:embed="rId41"/>
                        <a:stretch/>
                      </pic:blipFill>
                      <pic:spPr bwMode="auto">
                        <a:xfrm>
                          <a:off x="0" y="0"/>
                          <a:ext cx="5950359" cy="2759255"/>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 o:spid="_x0000_s11" type="#_x0000_t75" style="width:466.50pt;height:216.32pt;mso-wrap-distance-left:0.00pt;mso-wrap-distance-top:0.00pt;mso-wrap-distance-right:0.00pt;mso-wrap-distance-bottom:0.00pt;" stroked="f">
                <v:path textboxrect="0,0,0,0"/>
                <v:imagedata r:id="rId42" o:title=""/>
              </v:shape>
            </w:pict>
          </mc:Fallback>
        </mc:AlternateContent>
      </w:r>
    </w:p>
    <w:p w:rsidR="00DC1467" w:rsidRDefault="00B70D3E">
      <w:pPr>
        <w:pStyle w:val="af5"/>
        <w:spacing w:after="0"/>
        <w:ind w:firstLine="0"/>
        <w:jc w:val="center"/>
        <w:rPr>
          <w:sz w:val="28"/>
          <w:szCs w:val="28"/>
        </w:rPr>
      </w:pPr>
      <w:r>
        <w:rPr>
          <w:sz w:val="28"/>
          <w:szCs w:val="28"/>
        </w:rPr>
        <w:t>Рис.12. Динамика показателя болезненности пагубного употребления наркотиков в 2020-2024 гг. (на 100 тыс. населения)</w:t>
      </w:r>
    </w:p>
    <w:p w:rsidR="00DC1467" w:rsidRDefault="00DC1467">
      <w:pPr>
        <w:pStyle w:val="af5"/>
        <w:spacing w:after="0" w:line="276" w:lineRule="auto"/>
        <w:ind w:firstLine="709"/>
        <w:jc w:val="both"/>
        <w:rPr>
          <w:sz w:val="28"/>
          <w:szCs w:val="28"/>
        </w:rPr>
      </w:pPr>
    </w:p>
    <w:p w:rsidR="00DC1467" w:rsidRDefault="00B70D3E">
      <w:pPr>
        <w:pStyle w:val="af5"/>
        <w:spacing w:after="0" w:line="276" w:lineRule="auto"/>
        <w:ind w:firstLine="709"/>
        <w:jc w:val="both"/>
        <w:rPr>
          <w:sz w:val="28"/>
          <w:szCs w:val="28"/>
        </w:rPr>
      </w:pPr>
      <w:r>
        <w:rPr>
          <w:sz w:val="28"/>
          <w:szCs w:val="28"/>
        </w:rPr>
        <w:t>Общая распространенность пагубного употребления наркотиков среди несовершеннолетних в 2024 г</w:t>
      </w:r>
      <w:r>
        <w:rPr>
          <w:sz w:val="28"/>
          <w:szCs w:val="28"/>
        </w:rPr>
        <w:t>оду составила 4,6 на 100 тыс. несовершеннолетних (абс. 20), что на 17,9  % выше, чем в 2023 году – 3,9 на 100 тыс. несовершеннолетних, или 17 несовершеннолетних.</w:t>
      </w:r>
    </w:p>
    <w:p w:rsidR="00DC1467" w:rsidRDefault="00B70D3E">
      <w:pPr>
        <w:pStyle w:val="af5"/>
        <w:spacing w:after="0" w:line="276" w:lineRule="auto"/>
        <w:ind w:firstLine="709"/>
        <w:jc w:val="both"/>
        <w:rPr>
          <w:sz w:val="28"/>
          <w:szCs w:val="28"/>
        </w:rPr>
      </w:pPr>
      <w:r>
        <w:rPr>
          <w:sz w:val="28"/>
          <w:szCs w:val="28"/>
        </w:rPr>
        <w:t>В соответствии с Порядком диспансерного наблюдения, на конец 2024 года оно осуществлялось в от</w:t>
      </w:r>
      <w:r>
        <w:rPr>
          <w:sz w:val="28"/>
          <w:szCs w:val="28"/>
        </w:rPr>
        <w:t>ношении 16 несовершеннолетних из числа зарегистрированных с пагубным употреблением наркотических средств в отчетном году (80,0 %), в 2023 году – 47,1 % (8 из 17 человек). Остальные несовершеннолетние из числа зарегистрированных были сняты в течение 2024 го</w:t>
      </w:r>
      <w:r>
        <w:rPr>
          <w:sz w:val="28"/>
          <w:szCs w:val="28"/>
        </w:rPr>
        <w:t>да с диспансерного наблюдения в связи с прекращением диспансерного наблюдения либо были переведены во взрослую группу наблюдения в связи с достижением совершеннолетия.</w:t>
      </w:r>
    </w:p>
    <w:p w:rsidR="00DC1467" w:rsidRDefault="00B70D3E">
      <w:pPr>
        <w:pStyle w:val="af5"/>
        <w:spacing w:after="0" w:line="276" w:lineRule="auto"/>
        <w:ind w:firstLine="709"/>
        <w:jc w:val="both"/>
        <w:rPr>
          <w:sz w:val="28"/>
          <w:szCs w:val="28"/>
        </w:rPr>
      </w:pPr>
      <w:r>
        <w:rPr>
          <w:sz w:val="28"/>
          <w:szCs w:val="28"/>
        </w:rPr>
        <w:t>В разрезе муниципальных образований (см. рис. 13) увеличение показателя распространеннос</w:t>
      </w:r>
      <w:r>
        <w:rPr>
          <w:sz w:val="28"/>
          <w:szCs w:val="28"/>
        </w:rPr>
        <w:t>ти пагубного употребления наркотиков среди несовершеннолетних зарегистрировано в шести муниципальных образованиях:</w:t>
      </w:r>
    </w:p>
    <w:p w:rsidR="00DC1467" w:rsidRDefault="00B70D3E">
      <w:pPr>
        <w:pStyle w:val="af5"/>
        <w:spacing w:after="0" w:line="276" w:lineRule="auto"/>
        <w:ind w:firstLine="709"/>
        <w:jc w:val="both"/>
        <w:rPr>
          <w:sz w:val="28"/>
          <w:szCs w:val="28"/>
        </w:rPr>
      </w:pPr>
      <w:r>
        <w:rPr>
          <w:sz w:val="28"/>
          <w:szCs w:val="28"/>
        </w:rPr>
        <w:t xml:space="preserve">г. Радужный – </w:t>
      </w:r>
      <w:r>
        <w:rPr>
          <w:color w:val="000000"/>
          <w:sz w:val="28"/>
          <w:szCs w:val="28"/>
        </w:rPr>
        <w:t>с 0 до 2 случаев (15,4 на 100 тыс. несовершеннолетних);</w:t>
      </w:r>
    </w:p>
    <w:p w:rsidR="00DC1467" w:rsidRDefault="00B70D3E">
      <w:pPr>
        <w:pStyle w:val="af5"/>
        <w:spacing w:after="0" w:line="276" w:lineRule="auto"/>
        <w:ind w:firstLine="709"/>
        <w:jc w:val="both"/>
        <w:rPr>
          <w:sz w:val="28"/>
          <w:szCs w:val="28"/>
        </w:rPr>
      </w:pPr>
      <w:r>
        <w:rPr>
          <w:sz w:val="28"/>
          <w:szCs w:val="28"/>
        </w:rPr>
        <w:t xml:space="preserve">г. Покачи – </w:t>
      </w:r>
      <w:r>
        <w:rPr>
          <w:color w:val="000000"/>
          <w:sz w:val="28"/>
          <w:szCs w:val="28"/>
        </w:rPr>
        <w:t>с 0 до 1 случая (20,8 на 100 тыс. несовершеннолетних);</w:t>
      </w:r>
    </w:p>
    <w:p w:rsidR="00DC1467" w:rsidRDefault="00B70D3E">
      <w:pPr>
        <w:pStyle w:val="af5"/>
        <w:spacing w:after="0" w:line="276" w:lineRule="auto"/>
        <w:ind w:firstLine="709"/>
        <w:jc w:val="both"/>
        <w:rPr>
          <w:sz w:val="28"/>
          <w:szCs w:val="28"/>
        </w:rPr>
      </w:pPr>
      <w:r>
        <w:rPr>
          <w:sz w:val="28"/>
          <w:szCs w:val="28"/>
        </w:rPr>
        <w:t xml:space="preserve">г. </w:t>
      </w:r>
      <w:r>
        <w:rPr>
          <w:sz w:val="28"/>
          <w:szCs w:val="28"/>
        </w:rPr>
        <w:t xml:space="preserve">Нягань – </w:t>
      </w:r>
      <w:r>
        <w:rPr>
          <w:color w:val="000000"/>
          <w:sz w:val="28"/>
          <w:szCs w:val="28"/>
        </w:rPr>
        <w:t>с 0 до 1 случая (6,1 на 100 тыс. несовершеннолетних);</w:t>
      </w:r>
    </w:p>
    <w:p w:rsidR="00DC1467" w:rsidRDefault="00B70D3E">
      <w:pPr>
        <w:pStyle w:val="af5"/>
        <w:spacing w:after="0" w:line="276" w:lineRule="auto"/>
        <w:ind w:firstLine="709"/>
        <w:jc w:val="both"/>
        <w:rPr>
          <w:sz w:val="28"/>
          <w:szCs w:val="28"/>
        </w:rPr>
      </w:pPr>
      <w:r>
        <w:rPr>
          <w:sz w:val="28"/>
          <w:szCs w:val="28"/>
        </w:rPr>
        <w:t xml:space="preserve">г. Когалым – </w:t>
      </w:r>
      <w:r>
        <w:rPr>
          <w:color w:val="000000"/>
          <w:sz w:val="28"/>
          <w:szCs w:val="28"/>
        </w:rPr>
        <w:t>с 0 до 1 случая (5,8 на 100 тыс. несовершеннолетних);</w:t>
      </w:r>
    </w:p>
    <w:p w:rsidR="00DC1467" w:rsidRDefault="00B70D3E">
      <w:pPr>
        <w:pStyle w:val="af5"/>
        <w:spacing w:after="0" w:line="276" w:lineRule="auto"/>
        <w:ind w:firstLine="709"/>
        <w:jc w:val="both"/>
        <w:rPr>
          <w:sz w:val="28"/>
          <w:szCs w:val="28"/>
        </w:rPr>
      </w:pPr>
      <w:r>
        <w:rPr>
          <w:sz w:val="28"/>
          <w:szCs w:val="28"/>
        </w:rPr>
        <w:t xml:space="preserve">г. Ханты-Мансийск – </w:t>
      </w:r>
      <w:r>
        <w:rPr>
          <w:color w:val="000000"/>
          <w:sz w:val="28"/>
          <w:szCs w:val="28"/>
        </w:rPr>
        <w:t>с 0 до 1 случая (3,8 на 100 тыс. несовершеннолетних);</w:t>
      </w:r>
    </w:p>
    <w:p w:rsidR="00DC1467" w:rsidRDefault="00B70D3E">
      <w:pPr>
        <w:pStyle w:val="af5"/>
        <w:spacing w:after="0" w:line="276" w:lineRule="auto"/>
        <w:ind w:firstLine="709"/>
        <w:jc w:val="both"/>
        <w:rPr>
          <w:color w:val="000000"/>
          <w:sz w:val="28"/>
          <w:szCs w:val="28"/>
        </w:rPr>
      </w:pPr>
      <w:r>
        <w:rPr>
          <w:sz w:val="28"/>
          <w:szCs w:val="28"/>
        </w:rPr>
        <w:t xml:space="preserve">г. Нижневартовск – </w:t>
      </w:r>
      <w:r>
        <w:rPr>
          <w:color w:val="000000"/>
          <w:sz w:val="28"/>
          <w:szCs w:val="28"/>
        </w:rPr>
        <w:t xml:space="preserve">с 0 до 1 случая (1,5 на 100 тыс. </w:t>
      </w:r>
      <w:r>
        <w:rPr>
          <w:color w:val="000000"/>
          <w:sz w:val="28"/>
          <w:szCs w:val="28"/>
        </w:rPr>
        <w:t>несовершеннолетних).</w:t>
      </w:r>
    </w:p>
    <w:p w:rsidR="00DC1467" w:rsidRDefault="00B70D3E">
      <w:pPr>
        <w:pStyle w:val="af5"/>
        <w:spacing w:after="0"/>
        <w:ind w:firstLine="0"/>
        <w:jc w:val="center"/>
        <w:rPr>
          <w:sz w:val="28"/>
          <w:szCs w:val="28"/>
        </w:rPr>
      </w:pPr>
      <w:r>
        <w:rPr>
          <w:noProof/>
          <w:sz w:val="28"/>
          <w:szCs w:val="28"/>
        </w:rPr>
        <mc:AlternateContent>
          <mc:Choice Requires="wpg">
            <w:drawing>
              <wp:inline distT="0" distB="0" distL="0" distR="0">
                <wp:extent cx="5959308" cy="3486150"/>
                <wp:effectExtent l="0" t="0" r="3810" b="0"/>
                <wp:docPr id="13"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pic:cNvPicPr>
                      </pic:nvPicPr>
                      <pic:blipFill>
                        <a:blip r:embed="rId43"/>
                        <a:stretch/>
                      </pic:blipFill>
                      <pic:spPr bwMode="auto">
                        <a:xfrm>
                          <a:off x="0" y="0"/>
                          <a:ext cx="6011536" cy="3516703"/>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 o:spid="_x0000_s12" type="#_x0000_t75" style="width:469.24pt;height:274.50pt;mso-wrap-distance-left:0.00pt;mso-wrap-distance-top:0.00pt;mso-wrap-distance-right:0.00pt;mso-wrap-distance-bottom:0.00pt;" stroked="f">
                <v:path textboxrect="0,0,0,0"/>
                <v:imagedata r:id="rId44" o:title=""/>
              </v:shape>
            </w:pict>
          </mc:Fallback>
        </mc:AlternateContent>
      </w:r>
    </w:p>
    <w:p w:rsidR="00DC1467" w:rsidRDefault="00B70D3E">
      <w:pPr>
        <w:pStyle w:val="af5"/>
        <w:spacing w:after="0"/>
        <w:ind w:firstLine="0"/>
        <w:jc w:val="center"/>
        <w:rPr>
          <w:sz w:val="28"/>
          <w:szCs w:val="28"/>
        </w:rPr>
      </w:pPr>
      <w:r>
        <w:rPr>
          <w:sz w:val="28"/>
          <w:szCs w:val="28"/>
        </w:rPr>
        <w:t>Рис. 13. Зарегистрировано несовершеннолетних с диагнозом «употребление наркотиков с вредными последствиями» в 2023-2024 гг. в разрезе муниципальных образований (абс.; на 100 тыс. несовершеннолетних)</w:t>
      </w:r>
    </w:p>
    <w:p w:rsidR="00DC1467" w:rsidRDefault="00DC1467">
      <w:pPr>
        <w:pStyle w:val="af5"/>
        <w:spacing w:after="0" w:line="276" w:lineRule="auto"/>
        <w:ind w:firstLine="709"/>
        <w:jc w:val="both"/>
        <w:rPr>
          <w:color w:val="000000"/>
          <w:sz w:val="28"/>
          <w:szCs w:val="28"/>
        </w:rPr>
      </w:pPr>
    </w:p>
    <w:p w:rsidR="00DC1467" w:rsidRDefault="00B70D3E">
      <w:pPr>
        <w:pStyle w:val="af5"/>
        <w:spacing w:after="0" w:line="276" w:lineRule="auto"/>
        <w:ind w:firstLine="709"/>
        <w:jc w:val="both"/>
        <w:rPr>
          <w:sz w:val="28"/>
          <w:szCs w:val="28"/>
        </w:rPr>
      </w:pPr>
      <w:r>
        <w:rPr>
          <w:color w:val="000000"/>
          <w:sz w:val="28"/>
          <w:szCs w:val="28"/>
        </w:rPr>
        <w:t>В следующих муниципальных образов</w:t>
      </w:r>
      <w:r>
        <w:rPr>
          <w:color w:val="000000"/>
          <w:sz w:val="28"/>
          <w:szCs w:val="28"/>
        </w:rPr>
        <w:t xml:space="preserve">аниях зафиксировано снижение </w:t>
      </w:r>
      <w:r>
        <w:rPr>
          <w:sz w:val="28"/>
          <w:szCs w:val="28"/>
        </w:rPr>
        <w:t xml:space="preserve">распространенности пагубного употребления наркотиков среди несовершеннолетних: </w:t>
      </w:r>
    </w:p>
    <w:p w:rsidR="00DC1467" w:rsidRDefault="00B70D3E">
      <w:pPr>
        <w:pStyle w:val="af5"/>
        <w:spacing w:after="0" w:line="276" w:lineRule="auto"/>
        <w:ind w:firstLine="709"/>
        <w:jc w:val="both"/>
        <w:rPr>
          <w:color w:val="000000"/>
          <w:sz w:val="28"/>
          <w:szCs w:val="28"/>
        </w:rPr>
      </w:pPr>
      <w:r>
        <w:rPr>
          <w:color w:val="000000"/>
          <w:sz w:val="28"/>
          <w:szCs w:val="28"/>
        </w:rPr>
        <w:t xml:space="preserve">г. Сургут </w:t>
      </w:r>
      <w:r>
        <w:rPr>
          <w:sz w:val="28"/>
          <w:szCs w:val="28"/>
        </w:rPr>
        <w:t xml:space="preserve">– </w:t>
      </w:r>
      <w:r>
        <w:rPr>
          <w:color w:val="000000"/>
          <w:sz w:val="28"/>
          <w:szCs w:val="28"/>
        </w:rPr>
        <w:t>с 11 случаев (10,6 на 100 тыс. несовершеннолетних) до 9 случаев (8,5 на 100 тыс. несовершеннолетних);</w:t>
      </w:r>
    </w:p>
    <w:p w:rsidR="00DC1467" w:rsidRDefault="00B70D3E">
      <w:pPr>
        <w:pStyle w:val="af5"/>
        <w:spacing w:after="0" w:line="276" w:lineRule="auto"/>
        <w:ind w:firstLine="709"/>
        <w:jc w:val="both"/>
        <w:rPr>
          <w:color w:val="000000"/>
          <w:sz w:val="28"/>
          <w:szCs w:val="28"/>
        </w:rPr>
      </w:pPr>
      <w:r>
        <w:rPr>
          <w:color w:val="000000"/>
          <w:sz w:val="28"/>
          <w:szCs w:val="28"/>
        </w:rPr>
        <w:t xml:space="preserve">Сургутский район </w:t>
      </w:r>
      <w:r>
        <w:rPr>
          <w:sz w:val="28"/>
          <w:szCs w:val="28"/>
        </w:rPr>
        <w:t xml:space="preserve">– </w:t>
      </w:r>
      <w:r>
        <w:rPr>
          <w:color w:val="000000"/>
          <w:sz w:val="28"/>
          <w:szCs w:val="28"/>
        </w:rPr>
        <w:t>с 6 случаев (1</w:t>
      </w:r>
      <w:r>
        <w:rPr>
          <w:color w:val="000000"/>
          <w:sz w:val="28"/>
          <w:szCs w:val="28"/>
        </w:rPr>
        <w:t>6,6 на 100 тыс. несовершеннолетних) до 4 случаев (10,9 на 100 тыс. несовершеннолетних).</w:t>
      </w:r>
    </w:p>
    <w:p w:rsidR="00DC1467" w:rsidRDefault="00B70D3E">
      <w:pPr>
        <w:pStyle w:val="af5"/>
        <w:spacing w:after="0" w:line="276" w:lineRule="auto"/>
        <w:ind w:firstLine="709"/>
        <w:jc w:val="both"/>
        <w:rPr>
          <w:color w:val="000000"/>
          <w:sz w:val="28"/>
          <w:szCs w:val="28"/>
        </w:rPr>
      </w:pPr>
      <w:r>
        <w:rPr>
          <w:color w:val="000000"/>
          <w:sz w:val="28"/>
          <w:szCs w:val="28"/>
        </w:rPr>
        <w:t>В других муниципальных образованиях распространённость пагубного употребления наркотиков среди несовершеннолетних в 2023-2024 годах не зарегистрирована.</w:t>
      </w:r>
    </w:p>
    <w:p w:rsidR="00DC1467" w:rsidRDefault="00B70D3E">
      <w:pPr>
        <w:pStyle w:val="af5"/>
        <w:spacing w:after="0" w:line="276" w:lineRule="auto"/>
        <w:ind w:firstLine="709"/>
        <w:jc w:val="both"/>
        <w:rPr>
          <w:sz w:val="28"/>
          <w:szCs w:val="28"/>
        </w:rPr>
      </w:pPr>
      <w:r>
        <w:rPr>
          <w:sz w:val="28"/>
          <w:szCs w:val="28"/>
        </w:rPr>
        <w:t>Анализ долгосро</w:t>
      </w:r>
      <w:r>
        <w:rPr>
          <w:sz w:val="28"/>
          <w:szCs w:val="28"/>
        </w:rPr>
        <w:t xml:space="preserve">чной динамики количества лиц, употребляющих наркотики с вредными последствиями, позволяет говорить о снижении данного показателя среди населения в целом начиная </w:t>
      </w:r>
      <w:r>
        <w:rPr>
          <w:sz w:val="28"/>
          <w:szCs w:val="28"/>
          <w:highlight w:val="white"/>
        </w:rPr>
        <w:t>с 2020 года</w:t>
      </w:r>
      <w:r>
        <w:rPr>
          <w:sz w:val="28"/>
          <w:szCs w:val="28"/>
        </w:rPr>
        <w:t xml:space="preserve"> и сохранении его на одном уровне среди несовершеннолетних потребителей наркотически</w:t>
      </w:r>
      <w:r>
        <w:rPr>
          <w:sz w:val="28"/>
          <w:szCs w:val="28"/>
        </w:rPr>
        <w:t>х веществ.</w:t>
      </w:r>
    </w:p>
    <w:p w:rsidR="00DC1467" w:rsidRDefault="00DC1467">
      <w:pPr>
        <w:pStyle w:val="af5"/>
        <w:spacing w:after="0" w:line="276" w:lineRule="auto"/>
        <w:ind w:firstLine="709"/>
        <w:jc w:val="center"/>
        <w:rPr>
          <w:sz w:val="28"/>
          <w:szCs w:val="28"/>
          <w:highlight w:val="yellow"/>
        </w:rPr>
      </w:pPr>
    </w:p>
    <w:p w:rsidR="00DC1467" w:rsidRDefault="00B70D3E">
      <w:pPr>
        <w:spacing w:line="276" w:lineRule="auto"/>
        <w:ind w:firstLine="709"/>
        <w:outlineLvl w:val="1"/>
        <w:rPr>
          <w:b/>
          <w:i/>
        </w:rPr>
      </w:pPr>
      <w:r>
        <w:rPr>
          <w:b/>
          <w:i/>
        </w:rPr>
        <w:t>Анализ динамики первичной заболеваемости пагубного употребления наркотиков</w:t>
      </w:r>
    </w:p>
    <w:p w:rsidR="00DC1467" w:rsidRDefault="00B70D3E">
      <w:pPr>
        <w:pStyle w:val="af5"/>
        <w:spacing w:after="0" w:line="276" w:lineRule="auto"/>
        <w:ind w:firstLine="709"/>
        <w:jc w:val="both"/>
        <w:rPr>
          <w:sz w:val="28"/>
          <w:szCs w:val="28"/>
        </w:rPr>
      </w:pPr>
      <w:r>
        <w:rPr>
          <w:sz w:val="28"/>
          <w:szCs w:val="28"/>
        </w:rPr>
        <w:t xml:space="preserve">Уровень первичной заболеваемости пагубного употребления наркотиков без синдрома зависимости в Ханты-Мансийском автономном округе – Югре (см. рис. 14) в 2024 году составил 5,2 на 100 тыс. населения, или 91 новый случай, что на 30,7 % ниже, чем в 2023 году, </w:t>
      </w:r>
      <w:r>
        <w:rPr>
          <w:sz w:val="28"/>
          <w:szCs w:val="28"/>
        </w:rPr>
        <w:t xml:space="preserve">когда было выявлено 130 новых случаев, или 7,5 на 100 тыс. населения. Для сравнения в Уральском Федеральном округе показатель за 2022 год составил 16,2 на 100 тыс. населения, по Российской Федерации – 14,9 на 100 тыс. населения. </w:t>
      </w:r>
    </w:p>
    <w:p w:rsidR="00DC1467" w:rsidRDefault="00DC1467">
      <w:pPr>
        <w:pStyle w:val="af5"/>
        <w:spacing w:after="0" w:line="276" w:lineRule="auto"/>
        <w:ind w:firstLine="709"/>
        <w:jc w:val="both"/>
        <w:rPr>
          <w:sz w:val="28"/>
          <w:szCs w:val="28"/>
        </w:rPr>
      </w:pPr>
    </w:p>
    <w:p w:rsidR="00DC1467" w:rsidRDefault="00B70D3E">
      <w:pPr>
        <w:pStyle w:val="af5"/>
        <w:spacing w:after="0"/>
        <w:ind w:firstLine="0"/>
        <w:jc w:val="center"/>
        <w:rPr>
          <w:sz w:val="28"/>
          <w:szCs w:val="28"/>
        </w:rPr>
      </w:pPr>
      <w:r>
        <w:rPr>
          <w:noProof/>
          <w:sz w:val="28"/>
          <w:szCs w:val="28"/>
        </w:rPr>
        <mc:AlternateContent>
          <mc:Choice Requires="wpg">
            <w:drawing>
              <wp:inline distT="0" distB="0" distL="0" distR="0">
                <wp:extent cx="5800725" cy="2640527"/>
                <wp:effectExtent l="0" t="0" r="0" b="7620"/>
                <wp:docPr id="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a:blip r:embed="rId45"/>
                        <a:stretch/>
                      </pic:blipFill>
                      <pic:spPr bwMode="auto">
                        <a:xfrm>
                          <a:off x="0" y="0"/>
                          <a:ext cx="5798002" cy="2639287"/>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 o:spid="_x0000_s13" type="#_x0000_t75" style="width:456.75pt;height:207.92pt;mso-wrap-distance-left:0.00pt;mso-wrap-distance-top:0.00pt;mso-wrap-distance-right:0.00pt;mso-wrap-distance-bottom:0.00pt;" stroked="f">
                <v:path textboxrect="0,0,0,0"/>
                <v:imagedata r:id="rId46" o:title=""/>
              </v:shape>
            </w:pict>
          </mc:Fallback>
        </mc:AlternateContent>
      </w:r>
    </w:p>
    <w:p w:rsidR="00DC1467" w:rsidRDefault="00B70D3E">
      <w:pPr>
        <w:pStyle w:val="af5"/>
        <w:spacing w:after="0"/>
        <w:ind w:firstLine="0"/>
        <w:jc w:val="center"/>
        <w:rPr>
          <w:sz w:val="28"/>
          <w:szCs w:val="28"/>
        </w:rPr>
      </w:pPr>
      <w:r>
        <w:rPr>
          <w:sz w:val="28"/>
          <w:szCs w:val="28"/>
        </w:rPr>
        <w:t>Рис. 14. Динамика показ</w:t>
      </w:r>
      <w:r>
        <w:rPr>
          <w:sz w:val="28"/>
          <w:szCs w:val="28"/>
        </w:rPr>
        <w:t>ателя первичной заболеваемости пагубного употребления наркотиков в 2020-2024 гг. (на 100 тыс. населения)</w:t>
      </w:r>
    </w:p>
    <w:p w:rsidR="00DC1467" w:rsidRDefault="00DC1467">
      <w:pPr>
        <w:pStyle w:val="af5"/>
        <w:spacing w:after="0" w:line="276" w:lineRule="auto"/>
        <w:ind w:firstLine="0"/>
        <w:jc w:val="center"/>
        <w:rPr>
          <w:sz w:val="28"/>
          <w:szCs w:val="28"/>
        </w:rPr>
      </w:pPr>
    </w:p>
    <w:p w:rsidR="00DC1467" w:rsidRDefault="00B70D3E">
      <w:pPr>
        <w:spacing w:line="276" w:lineRule="auto"/>
        <w:ind w:firstLine="709"/>
      </w:pPr>
      <w:r>
        <w:t>Увеличение первичной заболеваемости пагубного употребления наркотиков без синдрома зависимости зафиксировано в следующих муниципальных образованиях Ха</w:t>
      </w:r>
      <w:r>
        <w:t>нты-Мансийского автономного округа – Югры (см. рис. 15):</w:t>
      </w:r>
    </w:p>
    <w:p w:rsidR="00DC1467" w:rsidRDefault="00B70D3E">
      <w:pPr>
        <w:spacing w:line="276" w:lineRule="auto"/>
        <w:ind w:firstLine="709"/>
        <w:rPr>
          <w:color w:val="000000"/>
        </w:rPr>
      </w:pPr>
      <w:r>
        <w:t>в г. Ханты-Мансийске – увеличение с 2 случаев в 2023 году (1,8 на 100 тыс. населения) до 7 случаев в 2024 году (6,3 на 100 тыс. населения)</w:t>
      </w:r>
      <w:r>
        <w:rPr>
          <w:color w:val="000000"/>
        </w:rPr>
        <w:t>;</w:t>
      </w:r>
    </w:p>
    <w:p w:rsidR="00DC1467" w:rsidRDefault="00B70D3E">
      <w:pPr>
        <w:spacing w:line="276" w:lineRule="auto"/>
        <w:ind w:firstLine="709"/>
        <w:rPr>
          <w:color w:val="000000"/>
        </w:rPr>
      </w:pPr>
      <w:r>
        <w:t>в Кондинском районе – увеличение с 2 случаев в 2023 году (6</w:t>
      </w:r>
      <w:r>
        <w:t>,6 на 100 тыс. населения) до 6 случаев в 2024 году (19,7 на 100 тыс. населения)</w:t>
      </w:r>
      <w:r>
        <w:rPr>
          <w:color w:val="000000"/>
        </w:rPr>
        <w:t>;</w:t>
      </w:r>
    </w:p>
    <w:p w:rsidR="00DC1467" w:rsidRDefault="00B70D3E">
      <w:pPr>
        <w:spacing w:line="276" w:lineRule="auto"/>
        <w:ind w:firstLine="709"/>
        <w:rPr>
          <w:color w:val="000000"/>
        </w:rPr>
      </w:pPr>
      <w:r>
        <w:t>в г. Нижневартовске – увеличение с 10 случаев в 2023 году (3,5 на 100 тыс. населения) до 13 случаев в 2024 году (4,5 на 100 тыс. населения)</w:t>
      </w:r>
      <w:r>
        <w:rPr>
          <w:color w:val="000000"/>
        </w:rPr>
        <w:t>;</w:t>
      </w:r>
    </w:p>
    <w:p w:rsidR="00DC1467" w:rsidRDefault="00B70D3E">
      <w:pPr>
        <w:spacing w:line="276" w:lineRule="auto"/>
        <w:ind w:firstLine="709"/>
        <w:rPr>
          <w:color w:val="000000"/>
        </w:rPr>
      </w:pPr>
      <w:r>
        <w:t>в г. Радужном – увеличение с 3 слу</w:t>
      </w:r>
      <w:r>
        <w:t>чаев в 2023 году (6,7 на 100 тыс. населения) до 6 случаев в 2024 году (13,2 на 100 тыс. населения)</w:t>
      </w:r>
      <w:r>
        <w:rPr>
          <w:color w:val="000000"/>
        </w:rPr>
        <w:t>;</w:t>
      </w:r>
    </w:p>
    <w:p w:rsidR="00DC1467" w:rsidRDefault="00B70D3E">
      <w:pPr>
        <w:spacing w:line="276" w:lineRule="auto"/>
        <w:ind w:firstLine="709"/>
        <w:rPr>
          <w:color w:val="000000"/>
        </w:rPr>
      </w:pPr>
      <w:r>
        <w:t>в г. Югорске – увеличение с 1 случая в 2023 году (2,6 на 100 тыс. населения) до 2 случаев в 2024 году (5,1 на 100 тыс. населения)</w:t>
      </w:r>
      <w:r>
        <w:rPr>
          <w:color w:val="000000"/>
        </w:rPr>
        <w:t>;</w:t>
      </w:r>
    </w:p>
    <w:p w:rsidR="00DC1467" w:rsidRDefault="00B70D3E">
      <w:pPr>
        <w:spacing w:line="276" w:lineRule="auto"/>
        <w:ind w:firstLine="709"/>
        <w:rPr>
          <w:color w:val="000000"/>
        </w:rPr>
      </w:pPr>
      <w:r>
        <w:t>в Ханты-Мансийском районе – увеличение с 1 случая в 2023 году (5,3 на 100 тыс. населения) до 2 случаев в 2024 году (10,5 на 100 тыс. населения)</w:t>
      </w:r>
      <w:r>
        <w:rPr>
          <w:color w:val="000000"/>
        </w:rPr>
        <w:t>.</w:t>
      </w:r>
    </w:p>
    <w:p w:rsidR="00DC1467" w:rsidRDefault="00B70D3E">
      <w:pPr>
        <w:spacing w:line="276" w:lineRule="auto"/>
        <w:ind w:firstLine="709"/>
      </w:pPr>
      <w:r>
        <w:t xml:space="preserve">В Белоярском, Березовском и Нефтеюганском районах – в 2023-2024 годах впервые в жизни потребители наркотиков с </w:t>
      </w:r>
      <w:r>
        <w:t xml:space="preserve">вредными последствиями не зарегистрированы. </w:t>
      </w:r>
    </w:p>
    <w:p w:rsidR="00DC1467" w:rsidRDefault="00B70D3E">
      <w:pPr>
        <w:spacing w:line="276" w:lineRule="auto"/>
        <w:ind w:firstLine="709"/>
      </w:pPr>
      <w:r>
        <w:t>В других муниципальных образованиях Югры отмечается снижение первичной заболеваемости пагубного употребления наркотиков с вредными последствиями.</w:t>
      </w:r>
    </w:p>
    <w:p w:rsidR="00DC1467" w:rsidRDefault="00B70D3E">
      <w:pPr>
        <w:spacing w:line="276" w:lineRule="auto"/>
        <w:ind w:firstLine="709"/>
      </w:pPr>
      <w:r>
        <w:rPr>
          <w:color w:val="000000"/>
        </w:rPr>
        <w:t>Стоит отметить, что наблюдаемую</w:t>
      </w:r>
      <w:r>
        <w:t xml:space="preserve"> динамику первичной заболеваемости</w:t>
      </w:r>
      <w:r>
        <w:t xml:space="preserve"> пагубного употребления наркотиков без синдрома зависимости в муниципальных образованиях, где порядок цифр небольшой и разница составляет от единицы до 5-ти новых зарегистрированных случаев, нельзя считать значимой. </w:t>
      </w:r>
    </w:p>
    <w:p w:rsidR="00DC1467" w:rsidRDefault="00B70D3E">
      <w:pPr>
        <w:pStyle w:val="af5"/>
        <w:spacing w:after="0"/>
        <w:ind w:firstLine="0"/>
        <w:jc w:val="center"/>
        <w:rPr>
          <w:sz w:val="28"/>
          <w:szCs w:val="28"/>
        </w:rPr>
      </w:pPr>
      <w:r>
        <w:rPr>
          <w:noProof/>
          <w:sz w:val="28"/>
          <w:szCs w:val="28"/>
        </w:rPr>
        <mc:AlternateContent>
          <mc:Choice Requires="wpg">
            <w:drawing>
              <wp:inline distT="0" distB="0" distL="0" distR="0">
                <wp:extent cx="6019003" cy="3449555"/>
                <wp:effectExtent l="0" t="0" r="1270" b="0"/>
                <wp:docPr id="1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47"/>
                        <a:stretch/>
                      </pic:blipFill>
                      <pic:spPr bwMode="auto">
                        <a:xfrm>
                          <a:off x="0" y="0"/>
                          <a:ext cx="6017879" cy="3448911"/>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 o:spid="_x0000_s14" type="#_x0000_t75" style="width:473.94pt;height:271.62pt;mso-wrap-distance-left:0.00pt;mso-wrap-distance-top:0.00pt;mso-wrap-distance-right:0.00pt;mso-wrap-distance-bottom:0.00pt;" stroked="f">
                <v:path textboxrect="0,0,0,0"/>
                <v:imagedata r:id="rId48" o:title=""/>
              </v:shape>
            </w:pict>
          </mc:Fallback>
        </mc:AlternateContent>
      </w:r>
    </w:p>
    <w:p w:rsidR="00DC1467" w:rsidRDefault="00B70D3E">
      <w:pPr>
        <w:pStyle w:val="af5"/>
        <w:spacing w:after="0"/>
        <w:ind w:firstLine="0"/>
        <w:jc w:val="center"/>
        <w:rPr>
          <w:sz w:val="28"/>
          <w:szCs w:val="28"/>
        </w:rPr>
      </w:pPr>
      <w:r>
        <w:rPr>
          <w:sz w:val="28"/>
          <w:szCs w:val="28"/>
        </w:rPr>
        <w:t>Рис. 15. Зарегистрировано впервые в ж</w:t>
      </w:r>
      <w:r>
        <w:rPr>
          <w:sz w:val="28"/>
          <w:szCs w:val="28"/>
        </w:rPr>
        <w:t xml:space="preserve">изни с диагнозом «употребление наркотиков с вредными последствиями» в 2023-2024 гг. </w:t>
      </w:r>
      <w:r>
        <w:rPr>
          <w:sz w:val="28"/>
          <w:szCs w:val="28"/>
        </w:rPr>
        <w:br/>
        <w:t>(на 100 тыс. населения)</w:t>
      </w:r>
    </w:p>
    <w:p w:rsidR="00DC1467" w:rsidRDefault="00DC1467">
      <w:pPr>
        <w:spacing w:line="276" w:lineRule="auto"/>
        <w:ind w:firstLine="709"/>
      </w:pPr>
    </w:p>
    <w:p w:rsidR="00DC1467" w:rsidRDefault="00B70D3E">
      <w:pPr>
        <w:pStyle w:val="af5"/>
        <w:spacing w:after="0" w:line="276" w:lineRule="auto"/>
        <w:ind w:firstLine="709"/>
        <w:jc w:val="both"/>
        <w:rPr>
          <w:sz w:val="28"/>
          <w:szCs w:val="28"/>
        </w:rPr>
      </w:pPr>
      <w:r>
        <w:rPr>
          <w:sz w:val="28"/>
          <w:szCs w:val="28"/>
        </w:rPr>
        <w:t xml:space="preserve">В структуре первичной заболеваемости </w:t>
      </w:r>
      <w:r>
        <w:rPr>
          <w:color w:val="000000"/>
          <w:sz w:val="28"/>
          <w:szCs w:val="28"/>
        </w:rPr>
        <w:t>пагубного употребления наркотиков</w:t>
      </w:r>
      <w:r>
        <w:rPr>
          <w:sz w:val="28"/>
          <w:szCs w:val="28"/>
        </w:rPr>
        <w:t xml:space="preserve"> за 2024 год зарегистрировано 12 несовершеннолетних пациентов (АППГ</w:t>
      </w:r>
      <w:r>
        <w:rPr>
          <w:rStyle w:val="af1"/>
          <w:sz w:val="28"/>
          <w:szCs w:val="28"/>
        </w:rPr>
        <w:footnoteReference w:id="30"/>
      </w:r>
      <w:r>
        <w:rPr>
          <w:sz w:val="28"/>
          <w:szCs w:val="28"/>
        </w:rPr>
        <w:t xml:space="preserve"> – 7), о</w:t>
      </w:r>
      <w:r>
        <w:rPr>
          <w:sz w:val="28"/>
          <w:szCs w:val="28"/>
        </w:rPr>
        <w:t>дин ребенок в возрасте до 14 лет в г. Радужном и одиннадцать подростков в возрасте 15-17 лет (четыре в г. Сургуте и по одному в городах Когалым, Нижневартовск, Нягань, Покачи, Радужный, Ханты-Мансийск и в Сургутскиом районе). В 2023 году зарегистрировано 7</w:t>
      </w:r>
      <w:r>
        <w:rPr>
          <w:sz w:val="28"/>
          <w:szCs w:val="28"/>
        </w:rPr>
        <w:t xml:space="preserve"> несовершеннолетних пациентов, один ребенок в возрасте до 14 лет в г. Сургуте и шесть подростков в возрасте 15-17 лет (четыре в г. Сургуте и два в Сургутском районе).</w:t>
      </w:r>
    </w:p>
    <w:p w:rsidR="00DC1467" w:rsidRDefault="00DC1467">
      <w:pPr>
        <w:pStyle w:val="af5"/>
        <w:spacing w:after="0" w:line="276" w:lineRule="auto"/>
        <w:ind w:firstLine="709"/>
        <w:jc w:val="both"/>
        <w:rPr>
          <w:sz w:val="28"/>
          <w:szCs w:val="28"/>
          <w:highlight w:val="yellow"/>
        </w:rPr>
      </w:pPr>
    </w:p>
    <w:p w:rsidR="00DC1467" w:rsidRDefault="00B70D3E">
      <w:pPr>
        <w:spacing w:line="276" w:lineRule="auto"/>
        <w:ind w:firstLine="709"/>
        <w:outlineLvl w:val="1"/>
      </w:pPr>
      <w:r>
        <w:rPr>
          <w:b/>
          <w:i/>
        </w:rPr>
        <w:t>Анализ других медицинских показателей у лиц с наркологическими расстройствами, связанными с употреблением наркотиков</w:t>
      </w:r>
    </w:p>
    <w:p w:rsidR="00DC1467" w:rsidRDefault="00B70D3E">
      <w:pPr>
        <w:pStyle w:val="af5"/>
        <w:spacing w:after="0" w:line="276" w:lineRule="auto"/>
        <w:ind w:firstLine="709"/>
        <w:jc w:val="both"/>
        <w:rPr>
          <w:sz w:val="28"/>
          <w:szCs w:val="28"/>
        </w:rPr>
      </w:pPr>
      <w:r>
        <w:rPr>
          <w:sz w:val="28"/>
          <w:szCs w:val="28"/>
        </w:rPr>
        <w:t>Имеют ВИЧ–позитивный статус 526 человек из числа зарегистрированных больных с наркоманией (32,2 % зарегистрированных больных с наркоманией,</w:t>
      </w:r>
      <w:r>
        <w:rPr>
          <w:sz w:val="28"/>
          <w:szCs w:val="28"/>
        </w:rPr>
        <w:t xml:space="preserve"> в 2023 г. 545 человек, или 32,3 %); и 63 человека из числа потребителей наркотиков с вредными последствиями (7,5 % зарегистрированных больных с пагубным употреблением наркотиков, в 2023 г. 67 человек, или 7,3 %). Удельный вес ВИЧ-позитивных среди зарегист</w:t>
      </w:r>
      <w:r>
        <w:rPr>
          <w:sz w:val="28"/>
          <w:szCs w:val="28"/>
        </w:rPr>
        <w:t xml:space="preserve">рированных потребителей наркотиков инъекционным способом в 2024 году составил 38,8 %, в 2023 году – 39,0 %. </w:t>
      </w:r>
    </w:p>
    <w:p w:rsidR="00DC1467" w:rsidRDefault="00B70D3E">
      <w:pPr>
        <w:pStyle w:val="af5"/>
        <w:spacing w:after="0" w:line="276" w:lineRule="auto"/>
        <w:ind w:firstLine="709"/>
        <w:jc w:val="both"/>
        <w:rPr>
          <w:sz w:val="28"/>
          <w:szCs w:val="28"/>
        </w:rPr>
      </w:pPr>
      <w:r>
        <w:rPr>
          <w:sz w:val="28"/>
          <w:szCs w:val="28"/>
        </w:rPr>
        <w:t>Удельный вес потребителей наркотиков инъекционным способом в общем числе зарегистрированных потребителей наркотиков (число лиц с синдромом зависимо</w:t>
      </w:r>
      <w:r>
        <w:rPr>
          <w:sz w:val="28"/>
          <w:szCs w:val="28"/>
        </w:rPr>
        <w:t xml:space="preserve">сти и с пагубным употреблением наркотиков) в 2024 году составил 7,2 %, в 2023 году – 8,1 %. </w:t>
      </w:r>
    </w:p>
    <w:p w:rsidR="00DC1467" w:rsidRDefault="00B70D3E">
      <w:pPr>
        <w:pStyle w:val="af5"/>
        <w:spacing w:after="0" w:line="276" w:lineRule="auto"/>
        <w:ind w:firstLine="709"/>
        <w:jc w:val="both"/>
        <w:rPr>
          <w:sz w:val="28"/>
          <w:szCs w:val="28"/>
        </w:rPr>
      </w:pPr>
      <w:r>
        <w:rPr>
          <w:sz w:val="28"/>
          <w:szCs w:val="28"/>
        </w:rPr>
        <w:t>Таким образом, доля ВИЧ-инфицированных среди лиц, употребляющих наркотики, по сравнению с 2023 годом незначительно уменьшилась на фоне снижения общего числа зареги</w:t>
      </w:r>
      <w:r>
        <w:rPr>
          <w:sz w:val="28"/>
          <w:szCs w:val="28"/>
        </w:rPr>
        <w:t xml:space="preserve">стрированных потребителей наркотиков и сокращения числа лиц, имеющих положительный ВИЧ-статус. </w:t>
      </w:r>
    </w:p>
    <w:p w:rsidR="00DC1467" w:rsidRDefault="00B70D3E">
      <w:pPr>
        <w:pStyle w:val="af3"/>
        <w:widowControl w:val="0"/>
        <w:spacing w:after="0" w:line="276" w:lineRule="auto"/>
        <w:ind w:firstLine="709"/>
        <w:jc w:val="both"/>
        <w:rPr>
          <w:sz w:val="28"/>
          <w:szCs w:val="28"/>
        </w:rPr>
      </w:pPr>
      <w:r>
        <w:rPr>
          <w:sz w:val="28"/>
          <w:szCs w:val="28"/>
        </w:rPr>
        <w:t xml:space="preserve">Доля лиц с пагубным употреблением наркотиков, снятых с диспансерного наблюдения в связи с выздоровлением (длительным воздержанием), составляет в 2024 году 15,0 </w:t>
      </w:r>
      <w:r>
        <w:rPr>
          <w:sz w:val="28"/>
          <w:szCs w:val="28"/>
        </w:rPr>
        <w:t>на 100 больных среднегодового контингента, что на 14,8 % меньше, чем в 2023 году – 17,6 на 100 среднегодовых больных.</w:t>
      </w:r>
    </w:p>
    <w:p w:rsidR="00DC1467" w:rsidRDefault="00B70D3E">
      <w:pPr>
        <w:pStyle w:val="af5"/>
        <w:spacing w:after="0" w:line="276" w:lineRule="auto"/>
        <w:ind w:firstLine="709"/>
        <w:jc w:val="both"/>
        <w:rPr>
          <w:sz w:val="28"/>
          <w:szCs w:val="28"/>
        </w:rPr>
      </w:pPr>
      <w:r>
        <w:rPr>
          <w:sz w:val="28"/>
          <w:szCs w:val="28"/>
        </w:rPr>
        <w:t>Из числа больных наркоманией, состоящих под наблюдением на конец 2024 года, находятся в ремиссии: от 6 месяцев до 1 года – 22,7 больных на</w:t>
      </w:r>
      <w:r>
        <w:rPr>
          <w:sz w:val="28"/>
          <w:szCs w:val="28"/>
        </w:rPr>
        <w:t xml:space="preserve"> 100 больных среднегодового контингента с наркотической зависимостью (2023 г. – 16,2 на 100 больных среднегодового контингента); от 1 года до 2 лет – 16,8 на 100 больных среднегодового контингента (2023 г. – 20,0 на 100 больных среднегодового контингента);</w:t>
      </w:r>
      <w:r>
        <w:rPr>
          <w:sz w:val="28"/>
          <w:szCs w:val="28"/>
        </w:rPr>
        <w:t xml:space="preserve"> свыше 2-х лет – 17,7 на 100 больных среднегодового контингента (2023 г. – 16,2 на 100 больных среднегодового контингента).</w:t>
      </w:r>
    </w:p>
    <w:p w:rsidR="00DC1467" w:rsidRDefault="00B70D3E">
      <w:pPr>
        <w:spacing w:line="276" w:lineRule="auto"/>
        <w:ind w:firstLine="709"/>
      </w:pPr>
      <w:r>
        <w:t>За 2024 год в целом по автономному округу на наркологических койках пролечено 636 человек с различными наркологическими расстройства</w:t>
      </w:r>
      <w:r>
        <w:t>ми (АППГ – 660), связанными с употреблением наркотиков.</w:t>
      </w:r>
    </w:p>
    <w:p w:rsidR="00DC1467" w:rsidRDefault="00B70D3E">
      <w:pPr>
        <w:spacing w:line="276" w:lineRule="auto"/>
        <w:ind w:firstLine="709"/>
      </w:pPr>
      <w:r>
        <w:t>Из 467 пролеченных пациентов с синдромом зависимости от наркотиков и перенесших психозы вследствие употребления наркотиков, в программы стационарной реабилитации включены 85 пациентов (18,2 % от числа</w:t>
      </w:r>
      <w:r>
        <w:t xml:space="preserve"> пролеченных, АППГ – 12,2 %), при этом 40 пациентов (47,1 % из числа включённых, АППГ – 50,0 %) успешно окончили курс стационарной реабилитации. Средняя длительность стационарной реабилитации составила 82,8 койко-дней (АППГ – 140,3 койко-дней).</w:t>
      </w:r>
    </w:p>
    <w:p w:rsidR="00DC1467" w:rsidRDefault="00B70D3E">
      <w:pPr>
        <w:spacing w:line="276" w:lineRule="auto"/>
        <w:ind w:firstLine="709"/>
      </w:pPr>
      <w:r>
        <w:t>Кроме того,</w:t>
      </w:r>
      <w:r>
        <w:t xml:space="preserve"> в 2024 году 4,0 % больных наркотической зависимостью (абс. 56) из числа состоящих под наблюдением в этот период больных с наркоманией были включены в программы амбулаторной реабилитации, 67,9 % из них успешно завершили реабилитационные программы (абс. 38 </w:t>
      </w:r>
      <w:r>
        <w:t>чел.). В 2023 году 4,2 % наркозависимых были включены (абс. 60) в амбулаторные реабилитационные программы, 58,3 % из них их завершили (абс. 35 чел.).</w:t>
      </w:r>
    </w:p>
    <w:p w:rsidR="00DC1467" w:rsidRDefault="00B70D3E">
      <w:pPr>
        <w:pStyle w:val="af3"/>
        <w:widowControl w:val="0"/>
        <w:spacing w:after="0" w:line="276" w:lineRule="auto"/>
        <w:ind w:firstLine="709"/>
        <w:jc w:val="both"/>
        <w:rPr>
          <w:sz w:val="28"/>
          <w:szCs w:val="28"/>
        </w:rPr>
      </w:pPr>
      <w:r>
        <w:rPr>
          <w:sz w:val="28"/>
          <w:szCs w:val="28"/>
        </w:rPr>
        <w:t>Анализируя итоги работы наркологической службы за 2024 год, можно отметить следующие тенденции:</w:t>
      </w:r>
    </w:p>
    <w:p w:rsidR="00DC1467" w:rsidRDefault="00B70D3E">
      <w:pPr>
        <w:pStyle w:val="af3"/>
        <w:widowControl w:val="0"/>
        <w:spacing w:after="0" w:line="276" w:lineRule="auto"/>
        <w:ind w:firstLine="709"/>
        <w:jc w:val="both"/>
        <w:rPr>
          <w:sz w:val="28"/>
          <w:szCs w:val="28"/>
        </w:rPr>
      </w:pPr>
      <w:r>
        <w:rPr>
          <w:sz w:val="28"/>
          <w:szCs w:val="28"/>
        </w:rPr>
        <w:t>снижение о</w:t>
      </w:r>
      <w:r>
        <w:rPr>
          <w:sz w:val="28"/>
          <w:szCs w:val="28"/>
        </w:rPr>
        <w:t>бщей заболеваемости наркоманией среди всего населения;</w:t>
      </w:r>
    </w:p>
    <w:p w:rsidR="00DC1467" w:rsidRDefault="00B70D3E">
      <w:pPr>
        <w:pStyle w:val="af3"/>
        <w:widowControl w:val="0"/>
        <w:spacing w:after="0" w:line="276" w:lineRule="auto"/>
        <w:ind w:firstLine="709"/>
        <w:jc w:val="both"/>
        <w:rPr>
          <w:sz w:val="28"/>
          <w:szCs w:val="28"/>
        </w:rPr>
      </w:pPr>
      <w:r>
        <w:rPr>
          <w:sz w:val="28"/>
          <w:szCs w:val="28"/>
        </w:rPr>
        <w:t>отсутствие общей заболеваемости наркоманией среди несовершеннолетних;</w:t>
      </w:r>
    </w:p>
    <w:p w:rsidR="00DC1467" w:rsidRDefault="00B70D3E">
      <w:pPr>
        <w:pStyle w:val="af3"/>
        <w:widowControl w:val="0"/>
        <w:spacing w:after="0" w:line="276" w:lineRule="auto"/>
        <w:ind w:firstLine="709"/>
        <w:jc w:val="both"/>
        <w:rPr>
          <w:sz w:val="28"/>
          <w:szCs w:val="28"/>
        </w:rPr>
      </w:pPr>
      <w:r>
        <w:rPr>
          <w:sz w:val="28"/>
          <w:szCs w:val="28"/>
        </w:rPr>
        <w:t>увеличение первичной заболеваемости наркоманией среди всего населения;</w:t>
      </w:r>
    </w:p>
    <w:p w:rsidR="00DC1467" w:rsidRDefault="00B70D3E">
      <w:pPr>
        <w:pStyle w:val="af3"/>
        <w:widowControl w:val="0"/>
        <w:spacing w:after="0" w:line="276" w:lineRule="auto"/>
        <w:ind w:firstLine="709"/>
        <w:jc w:val="both"/>
        <w:rPr>
          <w:sz w:val="28"/>
          <w:szCs w:val="28"/>
        </w:rPr>
      </w:pPr>
      <w:r>
        <w:rPr>
          <w:sz w:val="28"/>
          <w:szCs w:val="28"/>
        </w:rPr>
        <w:t>отсутствие первичной заболеваемости наркоманией среди несове</w:t>
      </w:r>
      <w:r>
        <w:rPr>
          <w:sz w:val="28"/>
          <w:szCs w:val="28"/>
        </w:rPr>
        <w:t>ршеннолетних;</w:t>
      </w:r>
    </w:p>
    <w:p w:rsidR="00DC1467" w:rsidRDefault="00B70D3E">
      <w:pPr>
        <w:pStyle w:val="af3"/>
        <w:widowControl w:val="0"/>
        <w:spacing w:after="0" w:line="276" w:lineRule="auto"/>
        <w:ind w:firstLine="709"/>
        <w:jc w:val="both"/>
        <w:rPr>
          <w:sz w:val="28"/>
          <w:szCs w:val="28"/>
        </w:rPr>
      </w:pPr>
      <w:r>
        <w:rPr>
          <w:sz w:val="28"/>
          <w:szCs w:val="28"/>
        </w:rPr>
        <w:t>уменьшение общей заболеваемости пагубного употребления наркотиков среди всего населения;</w:t>
      </w:r>
    </w:p>
    <w:p w:rsidR="00DC1467" w:rsidRDefault="00B70D3E">
      <w:pPr>
        <w:pStyle w:val="af3"/>
        <w:widowControl w:val="0"/>
        <w:spacing w:after="0" w:line="276" w:lineRule="auto"/>
        <w:ind w:firstLine="709"/>
        <w:jc w:val="both"/>
        <w:rPr>
          <w:sz w:val="28"/>
          <w:szCs w:val="28"/>
        </w:rPr>
      </w:pPr>
      <w:r>
        <w:rPr>
          <w:sz w:val="28"/>
          <w:szCs w:val="28"/>
        </w:rPr>
        <w:t>увеличение показателя пагубного употребления наркотиков среди несовершеннолетних;</w:t>
      </w:r>
    </w:p>
    <w:p w:rsidR="00DC1467" w:rsidRDefault="00B70D3E">
      <w:pPr>
        <w:pStyle w:val="af3"/>
        <w:widowControl w:val="0"/>
        <w:spacing w:after="0" w:line="276" w:lineRule="auto"/>
        <w:ind w:firstLine="709"/>
        <w:jc w:val="both"/>
        <w:rPr>
          <w:sz w:val="28"/>
          <w:szCs w:val="28"/>
        </w:rPr>
      </w:pPr>
      <w:r>
        <w:rPr>
          <w:sz w:val="28"/>
          <w:szCs w:val="28"/>
        </w:rPr>
        <w:t>уменьшение первичной заболеваемости пагубного употребления наркотиков с</w:t>
      </w:r>
      <w:r>
        <w:rPr>
          <w:sz w:val="28"/>
          <w:szCs w:val="28"/>
        </w:rPr>
        <w:t>реди всего населения;</w:t>
      </w:r>
    </w:p>
    <w:p w:rsidR="00DC1467" w:rsidRDefault="00B70D3E">
      <w:pPr>
        <w:pStyle w:val="af3"/>
        <w:widowControl w:val="0"/>
        <w:spacing w:after="0" w:line="276" w:lineRule="auto"/>
        <w:ind w:firstLine="709"/>
        <w:jc w:val="both"/>
        <w:rPr>
          <w:sz w:val="28"/>
          <w:szCs w:val="28"/>
        </w:rPr>
      </w:pPr>
      <w:r>
        <w:rPr>
          <w:sz w:val="28"/>
          <w:szCs w:val="28"/>
        </w:rPr>
        <w:t xml:space="preserve">увеличение показателя пагубного употребления наркотиков среди несовершеннолетних. </w:t>
      </w:r>
    </w:p>
    <w:p w:rsidR="00DC1467" w:rsidRDefault="00B70D3E">
      <w:pPr>
        <w:pStyle w:val="af3"/>
        <w:widowControl w:val="0"/>
        <w:spacing w:after="0" w:line="276" w:lineRule="auto"/>
        <w:ind w:firstLine="709"/>
        <w:jc w:val="both"/>
        <w:rPr>
          <w:sz w:val="28"/>
          <w:szCs w:val="28"/>
        </w:rPr>
      </w:pPr>
      <w:r>
        <w:rPr>
          <w:sz w:val="28"/>
          <w:szCs w:val="28"/>
        </w:rPr>
        <w:t>На текущие показатели оказывают влияние меры, предпринимаемые в медицинской сфере на нескольких уровнях.</w:t>
      </w:r>
    </w:p>
    <w:p w:rsidR="00DC1467" w:rsidRDefault="00B70D3E">
      <w:pPr>
        <w:pStyle w:val="af3"/>
        <w:widowControl w:val="0"/>
        <w:spacing w:after="0" w:line="276" w:lineRule="auto"/>
        <w:ind w:firstLine="709"/>
        <w:jc w:val="both"/>
        <w:rPr>
          <w:sz w:val="28"/>
          <w:szCs w:val="28"/>
        </w:rPr>
      </w:pPr>
      <w:r>
        <w:rPr>
          <w:sz w:val="28"/>
          <w:szCs w:val="28"/>
        </w:rPr>
        <w:t>Законодательный и организационный уровень:</w:t>
      </w:r>
    </w:p>
    <w:p w:rsidR="00DC1467" w:rsidRDefault="00B70D3E">
      <w:pPr>
        <w:pStyle w:val="af3"/>
        <w:widowControl w:val="0"/>
        <w:spacing w:after="0" w:line="276" w:lineRule="auto"/>
        <w:ind w:firstLine="709"/>
        <w:jc w:val="both"/>
        <w:rPr>
          <w:sz w:val="28"/>
          <w:szCs w:val="28"/>
        </w:rPr>
      </w:pPr>
      <w:r>
        <w:rPr>
          <w:sz w:val="28"/>
          <w:szCs w:val="28"/>
        </w:rPr>
        <w:t>ока</w:t>
      </w:r>
      <w:r>
        <w:rPr>
          <w:sz w:val="28"/>
          <w:szCs w:val="28"/>
        </w:rPr>
        <w:t>зание медицинской помощи в соответствии с Порядком оказания медицинской помощи по профилю «психиатрия-наркология»</w:t>
      </w:r>
      <w:r>
        <w:rPr>
          <w:rStyle w:val="af1"/>
          <w:sz w:val="28"/>
          <w:szCs w:val="28"/>
        </w:rPr>
        <w:footnoteReference w:id="31"/>
      </w:r>
      <w:r>
        <w:rPr>
          <w:sz w:val="28"/>
          <w:szCs w:val="28"/>
        </w:rPr>
        <w:t>;</w:t>
      </w:r>
    </w:p>
    <w:p w:rsidR="00DC1467" w:rsidRDefault="00B70D3E">
      <w:pPr>
        <w:pStyle w:val="af3"/>
        <w:widowControl w:val="0"/>
        <w:spacing w:after="0" w:line="276" w:lineRule="auto"/>
        <w:ind w:firstLine="709"/>
        <w:jc w:val="both"/>
        <w:rPr>
          <w:sz w:val="28"/>
          <w:szCs w:val="28"/>
        </w:rPr>
      </w:pPr>
      <w:r>
        <w:rPr>
          <w:sz w:val="28"/>
          <w:szCs w:val="28"/>
        </w:rPr>
        <w:t xml:space="preserve">установление и осуществление наблюдения за больными с наркологическими расстройствами в соответствии с Порядком диспансерного наблюдения за </w:t>
      </w:r>
      <w:r>
        <w:rPr>
          <w:sz w:val="28"/>
          <w:szCs w:val="28"/>
        </w:rPr>
        <w:t>лицами с психическими расстройствами и (или) расстройствами поведения, связанными с употреблением психоактивных веществ</w:t>
      </w:r>
      <w:r>
        <w:rPr>
          <w:rStyle w:val="af1"/>
          <w:sz w:val="28"/>
          <w:szCs w:val="28"/>
        </w:rPr>
        <w:footnoteReference w:id="32"/>
      </w:r>
      <w:r>
        <w:rPr>
          <w:sz w:val="28"/>
          <w:szCs w:val="28"/>
        </w:rPr>
        <w:t>.</w:t>
      </w:r>
    </w:p>
    <w:p w:rsidR="00DC1467" w:rsidRDefault="00B70D3E">
      <w:pPr>
        <w:pStyle w:val="af3"/>
        <w:widowControl w:val="0"/>
        <w:spacing w:after="0" w:line="276" w:lineRule="auto"/>
        <w:ind w:firstLine="709"/>
        <w:jc w:val="both"/>
        <w:rPr>
          <w:sz w:val="28"/>
          <w:szCs w:val="28"/>
        </w:rPr>
      </w:pPr>
      <w:r>
        <w:rPr>
          <w:sz w:val="28"/>
          <w:szCs w:val="28"/>
        </w:rPr>
        <w:t>Ресурсно-технический уровень:</w:t>
      </w:r>
    </w:p>
    <w:p w:rsidR="00DC1467" w:rsidRDefault="00B70D3E">
      <w:pPr>
        <w:pStyle w:val="af3"/>
        <w:widowControl w:val="0"/>
        <w:spacing w:after="0" w:line="276" w:lineRule="auto"/>
        <w:ind w:firstLine="709"/>
        <w:jc w:val="both"/>
        <w:rPr>
          <w:sz w:val="28"/>
          <w:szCs w:val="28"/>
        </w:rPr>
      </w:pPr>
      <w:r>
        <w:rPr>
          <w:sz w:val="28"/>
          <w:szCs w:val="28"/>
        </w:rPr>
        <w:t>увеличение объемов химико-токсикологических исследований;</w:t>
      </w:r>
    </w:p>
    <w:p w:rsidR="00DC1467" w:rsidRDefault="00B70D3E">
      <w:pPr>
        <w:pStyle w:val="af3"/>
        <w:widowControl w:val="0"/>
        <w:spacing w:after="0" w:line="276" w:lineRule="auto"/>
        <w:ind w:firstLine="709"/>
        <w:jc w:val="both"/>
        <w:rPr>
          <w:sz w:val="28"/>
          <w:szCs w:val="28"/>
        </w:rPr>
      </w:pPr>
      <w:r>
        <w:rPr>
          <w:sz w:val="28"/>
          <w:szCs w:val="28"/>
        </w:rPr>
        <w:t>обеспечение контроля качества этих исследований.</w:t>
      </w:r>
    </w:p>
    <w:p w:rsidR="00DC1467" w:rsidRDefault="00B70D3E">
      <w:pPr>
        <w:pStyle w:val="af3"/>
        <w:widowControl w:val="0"/>
        <w:spacing w:after="0" w:line="276" w:lineRule="auto"/>
        <w:ind w:firstLine="709"/>
        <w:jc w:val="both"/>
        <w:rPr>
          <w:sz w:val="28"/>
          <w:szCs w:val="28"/>
        </w:rPr>
      </w:pPr>
      <w:r>
        <w:rPr>
          <w:sz w:val="28"/>
          <w:szCs w:val="28"/>
        </w:rPr>
        <w:t>Эти меры способствуют улучшению диагностики и мониторинга наркологических расстройств, что в свою очередь влияет на эффективность профилактических и лечебных мероприятий.</w:t>
      </w:r>
    </w:p>
    <w:p w:rsidR="00DC1467" w:rsidRDefault="00B70D3E">
      <w:pPr>
        <w:pStyle w:val="af5"/>
        <w:spacing w:after="0" w:line="276" w:lineRule="auto"/>
        <w:ind w:firstLine="709"/>
        <w:jc w:val="both"/>
        <w:rPr>
          <w:sz w:val="28"/>
          <w:szCs w:val="28"/>
        </w:rPr>
      </w:pPr>
      <w:r>
        <w:rPr>
          <w:sz w:val="28"/>
          <w:szCs w:val="28"/>
        </w:rPr>
        <w:t>Кроме того, благодаря функционирован</w:t>
      </w:r>
      <w:r>
        <w:rPr>
          <w:sz w:val="28"/>
          <w:szCs w:val="28"/>
        </w:rPr>
        <w:t>ию межведомственных взаимодействий, в том числе в связи с изменениями в законодательном поле, расширились возможности проведения лечебно-профилактической работы с лицами, привлеченными к уголовной и административной ответственности. Стало доступным проведе</w:t>
      </w:r>
      <w:r>
        <w:rPr>
          <w:sz w:val="28"/>
          <w:szCs w:val="28"/>
        </w:rPr>
        <w:t xml:space="preserve">ние обязательного и альтернативного лечения от наркотической зависимости. </w:t>
      </w:r>
    </w:p>
    <w:p w:rsidR="00DC1467" w:rsidRDefault="00B70D3E">
      <w:pPr>
        <w:pStyle w:val="af5"/>
        <w:spacing w:after="0" w:line="276" w:lineRule="auto"/>
        <w:ind w:firstLine="709"/>
        <w:jc w:val="both"/>
        <w:rPr>
          <w:sz w:val="28"/>
          <w:szCs w:val="28"/>
        </w:rPr>
      </w:pPr>
      <w:r>
        <w:rPr>
          <w:sz w:val="28"/>
          <w:szCs w:val="28"/>
        </w:rPr>
        <w:t>Так, в течение 2024 года обратились в связи с решением суда о назначении обязательного или альтернативного лечения 87 человек с синдромом зависимости от наркотиков (АППГ – 105 чел.)</w:t>
      </w:r>
      <w:r>
        <w:rPr>
          <w:sz w:val="28"/>
          <w:szCs w:val="28"/>
        </w:rPr>
        <w:t>. Успешно закончивших такое лечение – 83 человека, или 78,3 %, от числа прекративших обязательное или альтернативное лечение (106 человек). В 2023 году – успешно завершили лечение 88 человек, или 72,7 % от числа окончивших лечение (абс. 121). Прервавших ле</w:t>
      </w:r>
      <w:r>
        <w:rPr>
          <w:sz w:val="28"/>
          <w:szCs w:val="28"/>
        </w:rPr>
        <w:t xml:space="preserve">чение и отказавшихся его проходить в 2024 году – 23 человека (21,7 % от количества окончивших лечение), в 2023 году – 33 человека, или 27,3 % от количества окончивших лечение. Продолжили лечение на конец года – 28 человек (2023 г. – 47 человек). </w:t>
      </w:r>
    </w:p>
    <w:p w:rsidR="00DC1467" w:rsidRDefault="00DC1467">
      <w:pPr>
        <w:spacing w:line="276" w:lineRule="auto"/>
        <w:ind w:firstLine="709"/>
      </w:pPr>
    </w:p>
    <w:p w:rsidR="00DC1467" w:rsidRDefault="00B70D3E">
      <w:pPr>
        <w:spacing w:line="276" w:lineRule="auto"/>
        <w:ind w:firstLine="709"/>
        <w:outlineLvl w:val="0"/>
        <w:rPr>
          <w:b/>
          <w:i/>
        </w:rPr>
      </w:pPr>
      <w:r>
        <w:rPr>
          <w:b/>
          <w:i/>
        </w:rPr>
        <w:t>Анализ с</w:t>
      </w:r>
      <w:r>
        <w:rPr>
          <w:b/>
          <w:i/>
        </w:rPr>
        <w:t>итуации по острым отравлениям и смертности от потребления наркотиков, в том числе среди несовершеннолетних</w:t>
      </w:r>
    </w:p>
    <w:p w:rsidR="00DC1467" w:rsidRDefault="00B70D3E">
      <w:pPr>
        <w:spacing w:line="276" w:lineRule="auto"/>
        <w:ind w:firstLine="709"/>
      </w:pPr>
      <w:r>
        <w:t>По данным казенного учреждения Ханты-Мансийского автономного округа – Югры «Бюро судебно-медицинской экспертизы», зафиксировано 57 случаев смертельны</w:t>
      </w:r>
      <w:r>
        <w:t>х отравлений от наркотических средств и психотропных веществ за 2024 год (3,2 на 100 тыс. населения), что меньше на 29 случаев, чем в 2023 году (86 случаев или 4,9 на 100 тыс. населения), уменьшение составило 34,7%.</w:t>
      </w:r>
    </w:p>
    <w:p w:rsidR="00DC1467" w:rsidRDefault="00B70D3E">
      <w:pPr>
        <w:spacing w:line="276" w:lineRule="auto"/>
        <w:ind w:firstLine="709"/>
      </w:pPr>
      <w:r>
        <w:t>Количество смертельных отравлений от дей</w:t>
      </w:r>
      <w:r>
        <w:t xml:space="preserve">ствия наркотических средств в 2024 году составило 55 случаев, из них 47 случаев отравлений наркотическими средствами опиоидной группы (в 2023 году – 68), в том числе метадоном (46 случаев, в 2023 году – 56) и другими опиоидами </w:t>
      </w:r>
      <w:r>
        <w:br/>
        <w:t>(1 случай, в 2023 году – 7),</w:t>
      </w:r>
      <w:r>
        <w:t xml:space="preserve"> в их числе отравление кодеином, морфином и дезоморфином; 8 случаев (в 2023 году – 18) – отравления прочими наркотиками, в их числе отравление другими синтетическими наркотиками (шифр по МКБ-10 T40.4). Смертельных отравлений от действия психотропных вещест</w:t>
      </w:r>
      <w:r>
        <w:t>в в 2024 году – 2 случая (в 2023 году - 0).</w:t>
      </w:r>
    </w:p>
    <w:p w:rsidR="00DC1467" w:rsidRDefault="00B70D3E">
      <w:pPr>
        <w:widowControl w:val="0"/>
        <w:spacing w:line="276" w:lineRule="auto"/>
        <w:ind w:firstLine="709"/>
      </w:pPr>
      <w:r>
        <w:t xml:space="preserve">Наибольшее число отравлений в 2024 году зафиксировано в Сургуте (23 случая; АППГ – 43 случая, снижение на 46,5 %), Нижневартовске (12 случаев; АППГ – 10 случаев, увеличение на 20,0 %), </w:t>
      </w:r>
      <w:r>
        <w:rPr>
          <w:highlight w:val="white"/>
        </w:rPr>
        <w:t>в Сургутском районе (4 случ</w:t>
      </w:r>
      <w:r>
        <w:rPr>
          <w:highlight w:val="white"/>
        </w:rPr>
        <w:t>аев; АППГ – 7 случаев, снижение на 42,9 %)</w:t>
      </w:r>
      <w:r>
        <w:t xml:space="preserve"> и Мегионе (5 случаев; АППГ – 3 случая).</w:t>
      </w:r>
    </w:p>
    <w:p w:rsidR="00DC1467" w:rsidRDefault="00B70D3E">
      <w:pPr>
        <w:widowControl w:val="0"/>
        <w:spacing w:line="276" w:lineRule="auto"/>
        <w:ind w:firstLine="709"/>
      </w:pPr>
      <w:r>
        <w:t xml:space="preserve">Среди лиц, умерших от отравлений наркотическими средствами и психотропными веществами соотношение по полу мужчин и женщин </w:t>
      </w:r>
      <w:r>
        <w:br/>
        <w:t>в 2024 году составляет 8,5:1, в 2023 году – 5,1:1.</w:t>
      </w:r>
      <w:r>
        <w:t xml:space="preserve"> В 2024 году умерли от употребления наркотических и психотропных веществ 51 мужчина (89,5 %) и 6 женщин (10,5 %). </w:t>
      </w:r>
    </w:p>
    <w:p w:rsidR="00DC1467" w:rsidRDefault="00B70D3E">
      <w:pPr>
        <w:widowControl w:val="0"/>
        <w:spacing w:line="276" w:lineRule="auto"/>
        <w:ind w:firstLine="709"/>
      </w:pPr>
      <w:r>
        <w:t>В 2023 году умерли от употребления наркотических и психотропных веществ 72 мужчины (83,7 %) и 14 женщин (16,3 %).</w:t>
      </w:r>
    </w:p>
    <w:p w:rsidR="00DC1467" w:rsidRDefault="00B70D3E">
      <w:pPr>
        <w:widowControl w:val="0"/>
        <w:spacing w:line="276" w:lineRule="auto"/>
        <w:ind w:firstLine="709"/>
      </w:pPr>
      <w:r>
        <w:t>В 2024 году случаев смертел</w:t>
      </w:r>
      <w:r>
        <w:t xml:space="preserve">ьных отравлений наркотическими средствами среди несовершеннолетних лиц по предварительным данным подсистемы «УСиР» не зарегистрировано (в 2023 году – 4 случая). </w:t>
      </w:r>
    </w:p>
    <w:p w:rsidR="00DC1467" w:rsidRDefault="00B70D3E">
      <w:pPr>
        <w:widowControl w:val="0"/>
        <w:spacing w:line="276" w:lineRule="auto"/>
        <w:ind w:firstLine="709"/>
      </w:pPr>
      <w:r>
        <w:t xml:space="preserve">Средний возраст отравившихся наркотическими средствами </w:t>
      </w:r>
      <w:r>
        <w:br/>
        <w:t>и психотропными веществами в 2024 году</w:t>
      </w:r>
      <w:r>
        <w:t xml:space="preserve"> составляет 38,9±7,3 лет; за 12 месяцев 2023 года с- 36,5±10,1 лет.</w:t>
      </w:r>
    </w:p>
    <w:p w:rsidR="00DC1467" w:rsidRDefault="00B70D3E">
      <w:pPr>
        <w:widowControl w:val="0"/>
        <w:spacing w:line="276" w:lineRule="auto"/>
        <w:ind w:firstLine="709"/>
      </w:pPr>
      <w:r>
        <w:t>При сравнении сведений медицинских информационных систем медицинских организаций установлено, что 15 человек из числа отравившихся наркотическими веществами в 2024 году (26,3 %) имели выяв</w:t>
      </w:r>
      <w:r>
        <w:t>ленное наркологическое расстройство в связи с употреблением наркотических средств и психотропных веществ либо доставлялись для проведения медицинского освидетельствования на состояние наркотического опьянения, АППГ – 13 человек имели выявленное наркологиче</w:t>
      </w:r>
      <w:r>
        <w:t xml:space="preserve">ское расстройство из 86 умерших (15,1 %). </w:t>
      </w:r>
    </w:p>
    <w:p w:rsidR="00DC1467" w:rsidRDefault="00B70D3E">
      <w:pPr>
        <w:widowControl w:val="0"/>
        <w:spacing w:line="276" w:lineRule="auto"/>
        <w:ind w:firstLine="709"/>
      </w:pPr>
      <w:r>
        <w:t>По семейному положению: в 35 случаях погибшие в 2024 году не состояли в браке (61,4 %), в 13 случаях – состояли в браке (22,8 %), в отношении 9 человек – нет данных (15,8 %); в 2023 году – 54 человека из 86 не сос</w:t>
      </w:r>
      <w:r>
        <w:t>тояли в браке (62,8 %).</w:t>
      </w:r>
    </w:p>
    <w:p w:rsidR="00DC1467" w:rsidRDefault="00B70D3E">
      <w:pPr>
        <w:widowControl w:val="0"/>
        <w:spacing w:line="276" w:lineRule="auto"/>
        <w:ind w:firstLine="709"/>
      </w:pPr>
      <w:r>
        <w:t>По уровню образования: профессиональное среднее и общее среднее (полное) образование имели 23 и 14 погибших соответственно (40,4 % и 24,6 %), общее основное – 8 человек (14,0%) и профессиональное высшее образование – 8 человек (14,0</w:t>
      </w:r>
      <w:r>
        <w:t> %). В 2023 году профессиональное среднее образование имелось у 31 человека (36,0 %); общее среднее (полное) у 29 человек (33,7 %) и общее основное – 13 чел. (15,1 %).</w:t>
      </w:r>
    </w:p>
    <w:p w:rsidR="00DC1467" w:rsidRDefault="00B70D3E">
      <w:pPr>
        <w:widowControl w:val="0"/>
        <w:spacing w:line="276" w:lineRule="auto"/>
        <w:ind w:firstLine="709"/>
      </w:pPr>
      <w:r>
        <w:t>По трудовой занятости: 29 человек (50,9 %) – неработающие; 24 человека были заняты трудо</w:t>
      </w:r>
      <w:r>
        <w:t>вой деятельностью (42,1 %), в 4 случаях данные о трудовой деятельности отсутствуют (7,0 %). В 2023 году 47 человек (54,7 %) – неработающие, 36 человек были заняты трудовой деятельностью (41,9 %), в 3-х случаях данные о трудовой деятельности отсутствуют (3,</w:t>
      </w:r>
      <w:r>
        <w:t>5 %).</w:t>
      </w:r>
    </w:p>
    <w:p w:rsidR="00DC1467" w:rsidRDefault="00B70D3E">
      <w:pPr>
        <w:widowControl w:val="0"/>
        <w:spacing w:line="276" w:lineRule="auto"/>
        <w:ind w:firstLine="709"/>
      </w:pPr>
      <w:r>
        <w:t>В 2024 году основными потребителями наркотиков опиоидной группы с летальным исходом (82,5 %) являлись мужчины (89,5 %); жители автономного округа (71,9 %); граждане, не состоящие в браке (61,4 %); имеющие общее среднее (полное) или профессиональное с</w:t>
      </w:r>
      <w:r>
        <w:t xml:space="preserve">реднее образование (64,9 %); неработающие (50,9 %); среднего возраста 38,9±7,3 лет; не имевшие ранее выявленное наркологическое расстройство в связи с употреблением наркотических средств (73,7 %). </w:t>
      </w:r>
    </w:p>
    <w:p w:rsidR="00DC1467" w:rsidRDefault="00DC1467">
      <w:pPr>
        <w:widowControl w:val="0"/>
        <w:spacing w:line="276" w:lineRule="auto"/>
        <w:ind w:firstLine="709"/>
      </w:pPr>
    </w:p>
    <w:p w:rsidR="00DC1467" w:rsidRDefault="00B70D3E">
      <w:pPr>
        <w:spacing w:line="276" w:lineRule="auto"/>
        <w:ind w:firstLine="709"/>
        <w:outlineLvl w:val="0"/>
        <w:rPr>
          <w:b/>
          <w:i/>
        </w:rPr>
      </w:pPr>
      <w:r>
        <w:rPr>
          <w:b/>
          <w:i/>
        </w:rPr>
        <w:t>Анализ и оценка факторов, причин и условий, оказывающих в</w:t>
      </w:r>
      <w:r>
        <w:rPr>
          <w:b/>
          <w:i/>
        </w:rPr>
        <w:t>лияние на наркотизацию населения автономного округа</w:t>
      </w:r>
    </w:p>
    <w:p w:rsidR="00DC1467" w:rsidRDefault="00B70D3E">
      <w:pPr>
        <w:spacing w:line="276" w:lineRule="auto"/>
        <w:ind w:firstLine="709"/>
      </w:pPr>
      <w:r>
        <w:t>Основными факторами, влияющими на распространение наркомании и наркопреступности в Ханты-Мансийском автономном округе – Югре, остаются:</w:t>
      </w:r>
    </w:p>
    <w:p w:rsidR="00DC1467" w:rsidRDefault="00B70D3E">
      <w:pPr>
        <w:spacing w:line="276" w:lineRule="auto"/>
        <w:ind w:firstLine="709"/>
      </w:pPr>
      <w:r>
        <w:t>-высокие доходы населения: это привлекает людей из других регионов России и стран ближнего зарубежья, что увеличивает численность потенциально уязвимых групп;</w:t>
      </w:r>
    </w:p>
    <w:p w:rsidR="00DC1467" w:rsidRDefault="00B70D3E">
      <w:pPr>
        <w:spacing w:line="276" w:lineRule="auto"/>
        <w:ind w:firstLine="709"/>
      </w:pPr>
      <w:r>
        <w:t>-прибытие большого количества лиц из других регионов: высокий уровень доходов способствует миграц</w:t>
      </w:r>
      <w:r>
        <w:t>ии, что увеличивает концентрацию населения и, соответственно, возможности для распространения наркотиков;</w:t>
      </w:r>
    </w:p>
    <w:p w:rsidR="00DC1467" w:rsidRDefault="00B70D3E">
      <w:pPr>
        <w:spacing w:line="276" w:lineRule="auto"/>
        <w:ind w:firstLine="709"/>
      </w:pPr>
      <w:r>
        <w:t>высокая доля городского населения (92,3 %),  создает более благоприятные условия для наркоторговли и употребления психоактивных веществ в условиях отн</w:t>
      </w:r>
      <w:r>
        <w:t>осительной анонимности и доступности;</w:t>
      </w:r>
    </w:p>
    <w:p w:rsidR="00DC1467" w:rsidRDefault="00B70D3E">
      <w:pPr>
        <w:spacing w:line="276" w:lineRule="auto"/>
        <w:ind w:firstLine="709"/>
      </w:pPr>
      <w:r>
        <w:t>развитая инфраструктура и транспортно-логистическая сеть. Наличие хорошо развитой инфраструктуры, включая автомобильные дороги и железнодорожные пути, облегчает транспортировку наркотиков и способствует их распростране</w:t>
      </w:r>
      <w:r>
        <w:t>нию, особенно в крупных городах округа.</w:t>
      </w:r>
    </w:p>
    <w:p w:rsidR="00DC1467" w:rsidRDefault="00B70D3E">
      <w:pPr>
        <w:spacing w:line="276" w:lineRule="auto"/>
        <w:ind w:firstLine="709"/>
      </w:pPr>
      <w:r>
        <w:t>Эти факторы создают сложную среду, требующую комплексного и многоуровневого подхода к профилактике и борьбе с наркоманией и наркопреступностью, включая усиление контроля, профилактические мероприятия и повышение осве</w:t>
      </w:r>
      <w:r>
        <w:t>домленности населения.</w:t>
      </w:r>
    </w:p>
    <w:p w:rsidR="00DC1467" w:rsidRDefault="00DC1467">
      <w:pPr>
        <w:spacing w:line="276" w:lineRule="auto"/>
        <w:ind w:firstLine="709"/>
      </w:pPr>
    </w:p>
    <w:p w:rsidR="00DC1467" w:rsidRDefault="00B70D3E">
      <w:pPr>
        <w:pStyle w:val="af5"/>
        <w:spacing w:after="0" w:line="276" w:lineRule="auto"/>
        <w:ind w:firstLine="709"/>
        <w:jc w:val="both"/>
        <w:rPr>
          <w:sz w:val="28"/>
          <w:szCs w:val="28"/>
        </w:rPr>
      </w:pPr>
      <w:r>
        <w:rPr>
          <w:sz w:val="28"/>
          <w:szCs w:val="28"/>
        </w:rPr>
        <w:t>Наиболее значимый прирост первичной заболеваемости наркоманией отмечен в наиболее крупных муниципальных образованиях, являющихся транспортно-логистическими узлами в инфраструктуре автономного округа и обусловлен реализацией мер, нап</w:t>
      </w:r>
      <w:r>
        <w:rPr>
          <w:sz w:val="28"/>
          <w:szCs w:val="28"/>
        </w:rPr>
        <w:t xml:space="preserve">равленных на выявление и побуждение потребителей наркотических средств обратиться в медицинские организации. </w:t>
      </w:r>
    </w:p>
    <w:p w:rsidR="00DC1467" w:rsidRDefault="00B70D3E">
      <w:pPr>
        <w:spacing w:line="276" w:lineRule="auto"/>
        <w:ind w:firstLine="709"/>
      </w:pPr>
      <w:r>
        <w:t>Специалисты выделяют несколько ключевых мотивов, удерживающих людей от потребления наркотиков:</w:t>
      </w:r>
    </w:p>
    <w:p w:rsidR="00DC1467" w:rsidRDefault="00B70D3E">
      <w:pPr>
        <w:spacing w:line="276" w:lineRule="auto"/>
        <w:ind w:firstLine="709"/>
      </w:pPr>
      <w:r>
        <w:t>осознанное отрицательное отношение к потреблению на</w:t>
      </w:r>
      <w:r>
        <w:t>ркотиков: многие люди формируют стойкое негативное восприятие наркотиков, особенно синтетических, осознавая их тяжелые осложнения и последствия для здоровья;</w:t>
      </w:r>
    </w:p>
    <w:p w:rsidR="00DC1467" w:rsidRDefault="00B70D3E">
      <w:pPr>
        <w:spacing w:line="276" w:lineRule="auto"/>
        <w:ind w:firstLine="709"/>
      </w:pPr>
      <w:r>
        <w:t>риск ранней смерти: понимание того, что употребление наркотиков может привести к преждевременной с</w:t>
      </w:r>
      <w:r>
        <w:t>мерти, служит мощным сдерживающим фактором. Наркотики разрушают организм, что может привести к летальному исходу в относительно молодом возрасте;</w:t>
      </w:r>
    </w:p>
    <w:p w:rsidR="00DC1467" w:rsidRDefault="00B70D3E">
      <w:pPr>
        <w:spacing w:line="276" w:lineRule="auto"/>
        <w:ind w:firstLine="709"/>
      </w:pPr>
      <w:r>
        <w:t>опасность инфицирования ВИЧ-инфекцией и вирусными гепатитами: употребление наркотиков часто происходит в услов</w:t>
      </w:r>
      <w:r>
        <w:t>иях, способствующих передаче инфекционных заболеваний, таких как ВИЧ и вирусные гепатиты. Опасность заражения этими болезнями удерживает многих от начала или продолжения употребления наркотиков;</w:t>
      </w:r>
    </w:p>
    <w:p w:rsidR="00DC1467" w:rsidRDefault="00B70D3E">
      <w:pPr>
        <w:spacing w:line="276" w:lineRule="auto"/>
        <w:ind w:firstLine="709"/>
      </w:pPr>
      <w:r>
        <w:t>потеря уважения близких: многие люди боятся потерять уважение</w:t>
      </w:r>
      <w:r>
        <w:t xml:space="preserve"> и поддержку своих близких, что является важным социальным стимулом для воздержания от наркотиков. Потеря доверия и поддержки семьи может иметь серьезные эмоциональные последствия;</w:t>
      </w:r>
    </w:p>
    <w:p w:rsidR="00DC1467" w:rsidRDefault="00B70D3E">
      <w:pPr>
        <w:spacing w:line="276" w:lineRule="auto"/>
        <w:ind w:firstLine="709"/>
      </w:pPr>
      <w:r>
        <w:t>боязнь потерять семью: осознание того, что наркозависимость может разрушить</w:t>
      </w:r>
      <w:r>
        <w:t xml:space="preserve"> семейные отношения и привести к потере семьи, служит сильным мотиватором для отказа от употребления наркотиков. Люди боятся потерять своих близких и стремятся сохранить семейные узы.</w:t>
      </w:r>
    </w:p>
    <w:p w:rsidR="00DC1467" w:rsidRDefault="00B70D3E">
      <w:pPr>
        <w:spacing w:line="276" w:lineRule="auto"/>
        <w:ind w:firstLine="709"/>
      </w:pPr>
      <w:r>
        <w:t>Эти мотивы подчеркивают важность информационной и профилактической работ</w:t>
      </w:r>
      <w:r>
        <w:t>ы, направленной на повышение осведомленности о рисках, связанных с употреблением наркотиков, и на формирование устойчивого отрицательного отношения к их потреблению в обществе.</w:t>
      </w:r>
    </w:p>
    <w:p w:rsidR="00DC1467" w:rsidRDefault="00B70D3E">
      <w:pPr>
        <w:spacing w:line="276" w:lineRule="auto"/>
        <w:ind w:firstLine="709"/>
      </w:pPr>
      <w:r>
        <w:t>В настоящее время среди молодежи все больше приобретают актуальность позитивные</w:t>
      </w:r>
      <w:r>
        <w:t xml:space="preserve"> социальные ценности, такие как получение образования и высококвалифицированной специальности. Этот тренд учитывается при разработке методических материалов по профилактике наркомании. Фокус смещается с простого «запугивания» рисками для здоровья на акцент</w:t>
      </w:r>
      <w:r>
        <w:t>ирование ценностных мотивов.</w:t>
      </w:r>
    </w:p>
    <w:p w:rsidR="00DC1467" w:rsidRDefault="00B70D3E">
      <w:pPr>
        <w:spacing w:line="276" w:lineRule="auto"/>
        <w:ind w:firstLine="709"/>
      </w:pPr>
      <w:r>
        <w:t>Основные направления методических материалов включают:</w:t>
      </w:r>
    </w:p>
    <w:p w:rsidR="00DC1467" w:rsidRDefault="00B70D3E">
      <w:pPr>
        <w:spacing w:line="276" w:lineRule="auto"/>
        <w:ind w:firstLine="709"/>
      </w:pPr>
      <w:r>
        <w:t>позитивные социальные ценности: подчеркивание важности образования и профессионального развития. Формирование стремления к достижению высоких квалификаций и успешной карьер</w:t>
      </w:r>
      <w:r>
        <w:t>ы;</w:t>
      </w:r>
    </w:p>
    <w:p w:rsidR="00DC1467" w:rsidRDefault="00B70D3E">
      <w:pPr>
        <w:spacing w:line="276" w:lineRule="auto"/>
        <w:ind w:firstLine="709"/>
      </w:pPr>
      <w:r>
        <w:t>личностная реализация: внимание уделяется тому, что при административном задержании и обнаружении факта употребления наркотиков потребитель рискует потерять престижную работу и не реализовать свой личностный потенциал. Молодежь осознает, что употреблени</w:t>
      </w:r>
      <w:r>
        <w:t>е наркотиков может поставить крест на их амбициях и планах на будущее;</w:t>
      </w:r>
    </w:p>
    <w:p w:rsidR="00DC1467" w:rsidRDefault="00B70D3E">
      <w:pPr>
        <w:spacing w:line="276" w:lineRule="auto"/>
        <w:ind w:firstLine="709"/>
      </w:pPr>
      <w:r>
        <w:t>общественное понимание и поддержка: растет осознание того, что наркозависимость не только вредит здоровью, но и имеет серьезные социальные последствия, включая потерю уважения и поддерж</w:t>
      </w:r>
      <w:r>
        <w:t>ки близких, а также разрушение карьеры. Поддержка со стороны общества в стремлении молодежи к здоровому образу жизни и достижению своих целей;</w:t>
      </w:r>
    </w:p>
    <w:p w:rsidR="00DC1467" w:rsidRDefault="00B70D3E">
      <w:pPr>
        <w:spacing w:line="276" w:lineRule="auto"/>
        <w:ind w:firstLine="709"/>
      </w:pPr>
      <w:r>
        <w:t>Эти подходы помогают формировать у молодых людей устойчивое негативное отношение к наркотикам через осознание цен</w:t>
      </w:r>
      <w:r>
        <w:t>ности своего будущего, образования и профессионального роста. Профилактика становится более эффективной, когда акцентируется внимание на возможностях и достижениях, а не только на негативных последствиях употребления наркотиков.</w:t>
      </w:r>
    </w:p>
    <w:p w:rsidR="00DC1467" w:rsidRDefault="00B70D3E">
      <w:pPr>
        <w:spacing w:line="276" w:lineRule="auto"/>
        <w:ind w:firstLine="709"/>
      </w:pPr>
      <w:r>
        <w:t>Основным и преимущественным</w:t>
      </w:r>
      <w:r>
        <w:t xml:space="preserve"> местом распространения наркотиков в настоящее время является сеть Интернет, в частности мессенджеры и социальные сети. Результаты мониторинга наркоситуации свидетельствуют о сохранении достаточно высокого уровня наркотизации населения </w:t>
      </w:r>
      <w:r>
        <w:br/>
        <w:t>Ханты-Мансийского а</w:t>
      </w:r>
      <w:r>
        <w:t>втономного округа – Югры, особенно среди молодежи в возрастной группе 18-39 лет.</w:t>
      </w:r>
    </w:p>
    <w:p w:rsidR="00DC1467" w:rsidRDefault="00B70D3E">
      <w:pPr>
        <w:spacing w:line="276" w:lineRule="auto"/>
        <w:ind w:firstLine="709"/>
      </w:pPr>
      <w:r>
        <w:t>Актуальные, из известных, способы распространения наркотических средств включают:</w:t>
      </w:r>
    </w:p>
    <w:p w:rsidR="00DC1467" w:rsidRDefault="00B70D3E">
      <w:pPr>
        <w:tabs>
          <w:tab w:val="left" w:pos="4515"/>
        </w:tabs>
        <w:spacing w:line="276" w:lineRule="auto"/>
        <w:ind w:firstLine="709"/>
      </w:pPr>
      <w:r>
        <w:t>метод «закладок»: наркотики распространяются путем создания тайников («закладок»), местоположение которых сообщается покупателям через интернет. Это позволяет дилерам оставаться анонимными и усложняет работу правоохранительным органам по их задержанию;</w:t>
      </w:r>
    </w:p>
    <w:p w:rsidR="00DC1467" w:rsidRDefault="00B70D3E">
      <w:pPr>
        <w:spacing w:line="276" w:lineRule="auto"/>
        <w:ind w:firstLine="709"/>
      </w:pPr>
      <w:r>
        <w:t>инт</w:t>
      </w:r>
      <w:r>
        <w:t>ернет-площадки: покупка наркотиков осуществляется через интернет-площадки в теневом сегменте интернета. Такие платформы предоставляют возможность анонимного приобретения психоактивных веществ, что делает их привлекательными для потребителей.</w:t>
      </w:r>
    </w:p>
    <w:p w:rsidR="00DC1467" w:rsidRDefault="00B70D3E">
      <w:pPr>
        <w:spacing w:line="276" w:lineRule="auto"/>
        <w:ind w:firstLine="709"/>
      </w:pPr>
      <w:r>
        <w:t xml:space="preserve">Дополнительно </w:t>
      </w:r>
      <w:r>
        <w:t>на распространение наркотических средств и психотропных веществ влияет учебная и трудовая миграция населения в населенные пункты. Это связано с тем, что студенты, приезжающие в новые города для учебы, могут быть особенно уязвимы к предложениям о наркотиках</w:t>
      </w:r>
      <w:r>
        <w:t>, особенно если они находятся вдали от дома и испытывают стресс от адаптации. Люди, переезжающие в поисках работы, могут сталкиваться с новыми социальными и экономическими условиями, что иногда приводит к поиску способов снятия стресса, в том числе через у</w:t>
      </w:r>
      <w:r>
        <w:t>потребление наркотиков.</w:t>
      </w:r>
    </w:p>
    <w:p w:rsidR="00DC1467" w:rsidRDefault="00B70D3E">
      <w:pPr>
        <w:spacing w:line="276" w:lineRule="auto"/>
        <w:ind w:firstLine="709"/>
      </w:pPr>
      <w:r>
        <w:t>Эти факторы создают сложную обстановку, требующу</w:t>
      </w:r>
      <w:r>
        <w:t>ю комплексного подхода к профилактике и борьбе с наркоманией, включая усиление контроля за интернет-пространством, проведение профилактических мероприятий среди молодежи и мигрантов, а также повышение осведомленности о последствиях употребления наркотиков.</w:t>
      </w:r>
    </w:p>
    <w:p w:rsidR="00DC1467" w:rsidRDefault="00B70D3E">
      <w:pPr>
        <w:spacing w:line="276" w:lineRule="auto"/>
        <w:ind w:firstLine="709"/>
      </w:pPr>
      <w:r>
        <w:t>Основным и преимущественным местом распространения наркотиков является сеть Интернет (мессенджеры и социальные сети). Результаты мониторинга наркоситуации свидетельствуют о сохранении достаточно высокого уровня наркотизации населения округа, особенно моло</w:t>
      </w:r>
      <w:r>
        <w:t xml:space="preserve">дежи в возрастной группе 18-39 лет. </w:t>
      </w:r>
    </w:p>
    <w:p w:rsidR="00DC1467" w:rsidRDefault="00B70D3E">
      <w:pPr>
        <w:spacing w:line="276" w:lineRule="auto"/>
        <w:ind w:firstLine="709"/>
      </w:pPr>
      <w:r>
        <w:t>Сохраняется актуальной ситуация по преимущественному распространению наркотических средств путем «закладок».</w:t>
      </w:r>
    </w:p>
    <w:p w:rsidR="00DC1467" w:rsidRDefault="00B70D3E">
      <w:pPr>
        <w:pStyle w:val="af5"/>
        <w:spacing w:after="0" w:line="276" w:lineRule="auto"/>
        <w:ind w:firstLine="709"/>
        <w:jc w:val="both"/>
        <w:rPr>
          <w:sz w:val="28"/>
          <w:szCs w:val="28"/>
          <w:highlight w:val="white"/>
        </w:rPr>
      </w:pPr>
      <w:r>
        <w:rPr>
          <w:sz w:val="28"/>
          <w:szCs w:val="28"/>
        </w:rPr>
        <w:t>Данная динамика объясняется как ростом числа обращений за медицинской наркологической помощью среди лиц, употр</w:t>
      </w:r>
      <w:r>
        <w:rPr>
          <w:sz w:val="28"/>
          <w:szCs w:val="28"/>
        </w:rPr>
        <w:t>ебляющих психоактивные вещества без сформированной зависимости, так и успешностью мероприятий, направленных на раннее выявление незаконного потребления и ограничение возможностей приобретения наркотиков. Результаты достигаются благодаря масштабным санитарн</w:t>
      </w:r>
      <w:r>
        <w:rPr>
          <w:sz w:val="28"/>
          <w:szCs w:val="28"/>
        </w:rPr>
        <w:t>о-просветительским и профилактическим кампаниям, охватывающим различные группы населения. В их числе:</w:t>
      </w:r>
    </w:p>
    <w:p w:rsidR="00DC1467" w:rsidRDefault="00B70D3E">
      <w:pPr>
        <w:pStyle w:val="af5"/>
        <w:spacing w:after="0" w:line="276" w:lineRule="auto"/>
        <w:ind w:firstLine="709"/>
        <w:jc w:val="both"/>
        <w:rPr>
          <w:sz w:val="28"/>
          <w:szCs w:val="28"/>
        </w:rPr>
      </w:pPr>
      <w:r>
        <w:rPr>
          <w:sz w:val="28"/>
          <w:szCs w:val="28"/>
        </w:rPr>
        <w:t>медицинские профилактические осмотры обучающихся;</w:t>
      </w:r>
    </w:p>
    <w:p w:rsidR="00DC1467" w:rsidRDefault="00B70D3E">
      <w:pPr>
        <w:pStyle w:val="af5"/>
        <w:spacing w:after="0" w:line="276" w:lineRule="auto"/>
        <w:ind w:firstLine="709"/>
        <w:jc w:val="both"/>
        <w:rPr>
          <w:sz w:val="28"/>
          <w:szCs w:val="28"/>
        </w:rPr>
      </w:pPr>
      <w:r>
        <w:rPr>
          <w:sz w:val="28"/>
          <w:szCs w:val="28"/>
        </w:rPr>
        <w:t>предварительные, периодические и профилактические медицинские осмотры работающего населения;</w:t>
      </w:r>
    </w:p>
    <w:p w:rsidR="00DC1467" w:rsidRDefault="00B70D3E">
      <w:pPr>
        <w:pStyle w:val="af5"/>
        <w:spacing w:after="0" w:line="276" w:lineRule="auto"/>
        <w:ind w:firstLine="709"/>
        <w:jc w:val="both"/>
        <w:rPr>
          <w:sz w:val="28"/>
          <w:szCs w:val="28"/>
        </w:rPr>
      </w:pPr>
      <w:r>
        <w:rPr>
          <w:sz w:val="28"/>
          <w:szCs w:val="28"/>
        </w:rPr>
        <w:t>принятие пр</w:t>
      </w:r>
      <w:r>
        <w:rPr>
          <w:sz w:val="28"/>
          <w:szCs w:val="28"/>
        </w:rPr>
        <w:t>авовых мер в отношении лиц, употребляющих наркотические средства и психотропные вещества без назначения врача.</w:t>
      </w:r>
    </w:p>
    <w:p w:rsidR="00DC1467" w:rsidRDefault="00B70D3E">
      <w:pPr>
        <w:pStyle w:val="af5"/>
        <w:spacing w:after="0" w:line="276" w:lineRule="auto"/>
        <w:ind w:firstLine="709"/>
        <w:jc w:val="both"/>
        <w:rPr>
          <w:sz w:val="28"/>
          <w:szCs w:val="28"/>
        </w:rPr>
      </w:pPr>
      <w:r>
        <w:rPr>
          <w:sz w:val="28"/>
          <w:szCs w:val="28"/>
        </w:rPr>
        <w:t>Эти меры способствуют созданию среды, в которой раннее выявление и предотвращение наркопотребления становятся более эффективными.</w:t>
      </w:r>
    </w:p>
    <w:p w:rsidR="00DC1467" w:rsidRDefault="00DC1467">
      <w:pPr>
        <w:spacing w:line="276" w:lineRule="auto"/>
        <w:ind w:firstLine="709"/>
      </w:pPr>
    </w:p>
    <w:p w:rsidR="00DC1467" w:rsidRDefault="00B70D3E">
      <w:pPr>
        <w:pStyle w:val="af5"/>
        <w:spacing w:after="0" w:line="276" w:lineRule="auto"/>
        <w:ind w:firstLine="709"/>
        <w:jc w:val="both"/>
        <w:rPr>
          <w:b/>
          <w:i/>
          <w:sz w:val="28"/>
          <w:szCs w:val="28"/>
        </w:rPr>
      </w:pPr>
      <w:r>
        <w:rPr>
          <w:b/>
          <w:i/>
          <w:sz w:val="28"/>
          <w:szCs w:val="28"/>
        </w:rPr>
        <w:t>Основные показ</w:t>
      </w:r>
      <w:r>
        <w:rPr>
          <w:b/>
          <w:i/>
          <w:sz w:val="28"/>
          <w:szCs w:val="28"/>
        </w:rPr>
        <w:t>атели, характеризующие развитие наркоситуации в автономном округе, а также состояние иных процессов и факторов, оказывающих влияние на уровень распространения незаконного потребления и оборота наркотиков</w:t>
      </w:r>
    </w:p>
    <w:p w:rsidR="00DC1467" w:rsidRDefault="00B70D3E">
      <w:pPr>
        <w:pStyle w:val="af5"/>
        <w:tabs>
          <w:tab w:val="left" w:pos="993"/>
        </w:tabs>
        <w:spacing w:after="0" w:line="276" w:lineRule="auto"/>
        <w:ind w:firstLine="709"/>
        <w:jc w:val="both"/>
        <w:rPr>
          <w:sz w:val="28"/>
          <w:szCs w:val="28"/>
        </w:rPr>
      </w:pPr>
      <w:r>
        <w:rPr>
          <w:sz w:val="28"/>
          <w:szCs w:val="28"/>
        </w:rPr>
        <w:t>Распространенность наркомании (общее количество заре</w:t>
      </w:r>
      <w:r>
        <w:rPr>
          <w:sz w:val="28"/>
          <w:szCs w:val="28"/>
        </w:rPr>
        <w:t>гистрированных больных с наркоманией) в Ханты-Мансийском автономном округе – Югре снизилась, в 2024 году показатель составил 92,9 на 100 тыс. населения (абс. 1634), в 2023 году 96,6 на 100 тыс. населения (абс. 1686), снижение составило 3,7 %.</w:t>
      </w:r>
    </w:p>
    <w:p w:rsidR="00DC1467" w:rsidRDefault="00B70D3E">
      <w:pPr>
        <w:pStyle w:val="af5"/>
        <w:spacing w:after="0" w:line="276" w:lineRule="auto"/>
        <w:ind w:firstLine="709"/>
        <w:jc w:val="both"/>
        <w:rPr>
          <w:sz w:val="28"/>
          <w:szCs w:val="28"/>
        </w:rPr>
      </w:pPr>
      <w:r>
        <w:rPr>
          <w:sz w:val="28"/>
          <w:szCs w:val="28"/>
        </w:rPr>
        <w:t>Для сравнения</w:t>
      </w:r>
      <w:r>
        <w:rPr>
          <w:sz w:val="28"/>
          <w:szCs w:val="28"/>
        </w:rPr>
        <w:t>, показатель болезненности наркоманией в Российской Федерации за 2022 год составляет 157,8 на 100 тыс. населения, по Уральскому Федеральному округу в 2022 году – 168,0 на 100 тыс. населения.</w:t>
      </w:r>
    </w:p>
    <w:p w:rsidR="00DC1467" w:rsidRDefault="00B70D3E">
      <w:pPr>
        <w:pStyle w:val="af5"/>
        <w:spacing w:after="0" w:line="276" w:lineRule="auto"/>
        <w:ind w:firstLine="709"/>
        <w:jc w:val="both"/>
        <w:rPr>
          <w:sz w:val="28"/>
          <w:szCs w:val="28"/>
        </w:rPr>
      </w:pPr>
      <w:r>
        <w:rPr>
          <w:sz w:val="28"/>
          <w:szCs w:val="28"/>
        </w:rPr>
        <w:t>В структуре болезненности 58,0 % наркозависимых лиц имеют диагноз</w:t>
      </w:r>
      <w:r>
        <w:rPr>
          <w:sz w:val="28"/>
          <w:szCs w:val="28"/>
        </w:rPr>
        <w:t xml:space="preserve"> полинаркомании (потребление других наркотиков и их сочетаний) (2023 г. – 55,2 %), 25,5 % – зависимость от употребления опиоидов (2023 г. – 28,5 %), 10,1 % – с зависимостью от других психостимуляторов и 6,5 % – с зависимостью от каннабиноидов (в 2023 г. – </w:t>
      </w:r>
      <w:r>
        <w:rPr>
          <w:sz w:val="28"/>
          <w:szCs w:val="28"/>
        </w:rPr>
        <w:t>9,6 % и 6,7 % соответственно).</w:t>
      </w:r>
    </w:p>
    <w:p w:rsidR="00DC1467" w:rsidRDefault="00B70D3E">
      <w:pPr>
        <w:pStyle w:val="af5"/>
        <w:spacing w:after="0" w:line="276" w:lineRule="auto"/>
        <w:ind w:firstLine="709"/>
        <w:jc w:val="both"/>
        <w:rPr>
          <w:sz w:val="28"/>
          <w:szCs w:val="28"/>
        </w:rPr>
      </w:pPr>
      <w:r>
        <w:rPr>
          <w:sz w:val="28"/>
          <w:szCs w:val="28"/>
        </w:rPr>
        <w:t>Соотношение лиц, зарегистрированных с «синдромом зависимости от наркотиков», по полу составило в 2024 году М : Ж = 4,9 : 1, в процентном соотношении 83,0 % мужчин и 17,0 % женщин, аналогично 2023 году. Данная динамика показыв</w:t>
      </w:r>
      <w:r>
        <w:rPr>
          <w:sz w:val="28"/>
          <w:szCs w:val="28"/>
        </w:rPr>
        <w:t>ает сохранение доли женщин, зарегистрированных с наркоманией, на фоне общего снижения числа зарегистрированных лиц с наркоманией.</w:t>
      </w:r>
    </w:p>
    <w:p w:rsidR="00DC1467" w:rsidRDefault="00B70D3E">
      <w:pPr>
        <w:pStyle w:val="af5"/>
        <w:spacing w:after="0" w:line="276" w:lineRule="auto"/>
        <w:ind w:firstLine="709"/>
        <w:jc w:val="both"/>
        <w:rPr>
          <w:sz w:val="28"/>
          <w:szCs w:val="28"/>
        </w:rPr>
      </w:pPr>
      <w:r>
        <w:rPr>
          <w:sz w:val="28"/>
          <w:szCs w:val="28"/>
        </w:rPr>
        <w:t xml:space="preserve">В структуре болезненности за 2024 и 2023 годы несовершеннолетних с наркоманией не зарегистрировано. </w:t>
      </w:r>
    </w:p>
    <w:p w:rsidR="00DC1467" w:rsidRDefault="00B70D3E">
      <w:pPr>
        <w:pStyle w:val="af5"/>
        <w:spacing w:after="0" w:line="276" w:lineRule="auto"/>
        <w:ind w:firstLine="709"/>
        <w:jc w:val="both"/>
        <w:rPr>
          <w:sz w:val="28"/>
          <w:szCs w:val="28"/>
        </w:rPr>
      </w:pPr>
      <w:r>
        <w:rPr>
          <w:sz w:val="28"/>
          <w:szCs w:val="28"/>
        </w:rPr>
        <w:t xml:space="preserve">Превалирующая возрастная </w:t>
      </w:r>
      <w:r>
        <w:rPr>
          <w:sz w:val="28"/>
          <w:szCs w:val="28"/>
        </w:rPr>
        <w:t>группа среди зарегистрированных наркозависимых лиц – 20-39 лет, 67,6 % (в 2023 году – 69,2 %), однако наблюдается тренд на «старение» зарегистрированных потребителей наркотиков с синдром зависимости.</w:t>
      </w:r>
    </w:p>
    <w:p w:rsidR="00DC1467" w:rsidRDefault="00B70D3E">
      <w:pPr>
        <w:pStyle w:val="af5"/>
        <w:spacing w:after="0" w:line="276" w:lineRule="auto"/>
        <w:ind w:firstLine="709"/>
        <w:jc w:val="both"/>
        <w:rPr>
          <w:sz w:val="28"/>
          <w:szCs w:val="28"/>
        </w:rPr>
      </w:pPr>
      <w:r>
        <w:rPr>
          <w:sz w:val="28"/>
          <w:szCs w:val="28"/>
        </w:rPr>
        <w:t>Уровень первичной заболеваемости наркоманией (т.е. колич</w:t>
      </w:r>
      <w:r>
        <w:rPr>
          <w:sz w:val="28"/>
          <w:szCs w:val="28"/>
        </w:rPr>
        <w:t>ества впервые обратившихся за медицинской наркологической помощью в текущем году) в автономном округе в 2015 году составлял 20,9 случаев на 100 тыс. населения (абс. 338). Ежегодно данный показатель снижался и в 2022 году достиг минимума – 3,7 на 100 тыс. н</w:t>
      </w:r>
      <w:r>
        <w:rPr>
          <w:sz w:val="28"/>
          <w:szCs w:val="28"/>
        </w:rPr>
        <w:t xml:space="preserve">аселения (абс. 64). С 2023 года зарегистрированный уровень первичной заболеваемости наркоманией (4,5 на 100 тыс. населения, абс. 78) сменил тренд на прирост и в 2024 году составил 5,2 на 100 тыс. населения (абс. 91). </w:t>
      </w:r>
    </w:p>
    <w:p w:rsidR="00DC1467" w:rsidRDefault="00B70D3E">
      <w:pPr>
        <w:pStyle w:val="af5"/>
        <w:spacing w:after="0" w:line="276" w:lineRule="auto"/>
        <w:ind w:firstLine="709"/>
        <w:jc w:val="both"/>
        <w:rPr>
          <w:sz w:val="28"/>
          <w:szCs w:val="28"/>
        </w:rPr>
      </w:pPr>
      <w:r>
        <w:rPr>
          <w:sz w:val="28"/>
          <w:szCs w:val="28"/>
        </w:rPr>
        <w:t>В целом уровень первичной заболеваемос</w:t>
      </w:r>
      <w:r>
        <w:rPr>
          <w:sz w:val="28"/>
          <w:szCs w:val="28"/>
        </w:rPr>
        <w:t xml:space="preserve">ти наркоманией в Югре в 2,7 раза ниже, чем в Уральском Федеральном округе (в 2022 году – 13,9 на 100 тыс. населения), и в 1,8 раза ниже среднего уровня по Российской Федерации (в 2022 году – 9,6 на 100 тыс. населения). </w:t>
      </w:r>
    </w:p>
    <w:p w:rsidR="00DC1467" w:rsidRDefault="00B70D3E">
      <w:pPr>
        <w:pStyle w:val="af5"/>
        <w:spacing w:after="0" w:line="276" w:lineRule="auto"/>
        <w:ind w:firstLine="709"/>
        <w:jc w:val="both"/>
        <w:rPr>
          <w:sz w:val="28"/>
          <w:szCs w:val="28"/>
        </w:rPr>
      </w:pPr>
      <w:r>
        <w:rPr>
          <w:sz w:val="28"/>
          <w:szCs w:val="28"/>
        </w:rPr>
        <w:t>Из общего числа впервые заболевших н</w:t>
      </w:r>
      <w:r>
        <w:rPr>
          <w:sz w:val="28"/>
          <w:szCs w:val="28"/>
        </w:rPr>
        <w:t>аркоманией в 2024 году у 71,4 % больных установлен диагноз «полинаркомания» (2023 г. – 79,5%); «зависимость от психостимуляторов» – 18,7 % (2023 г. – 11,5 %); «зависимость от каннабиноидов» – 5,5 % (2023 г. – 6,4 %); диагноз «зависимость от опиатов» (герои</w:t>
      </w:r>
      <w:r>
        <w:rPr>
          <w:sz w:val="28"/>
          <w:szCs w:val="28"/>
        </w:rPr>
        <w:t>н,</w:t>
      </w:r>
      <w:r>
        <w:rPr>
          <w:color w:val="0000FF"/>
          <w:sz w:val="28"/>
          <w:szCs w:val="28"/>
        </w:rPr>
        <w:t xml:space="preserve"> </w:t>
      </w:r>
      <w:r>
        <w:rPr>
          <w:sz w:val="28"/>
          <w:szCs w:val="28"/>
        </w:rPr>
        <w:t xml:space="preserve">морфин, дезоморфин) – 4,4 % случаев (2023 г. – 2,6 %). </w:t>
      </w:r>
    </w:p>
    <w:p w:rsidR="00DC1467" w:rsidRDefault="00B70D3E">
      <w:pPr>
        <w:pStyle w:val="af5"/>
        <w:spacing w:after="0" w:line="276" w:lineRule="auto"/>
        <w:ind w:firstLine="709"/>
        <w:jc w:val="both"/>
        <w:rPr>
          <w:sz w:val="28"/>
          <w:szCs w:val="28"/>
        </w:rPr>
      </w:pPr>
      <w:r>
        <w:rPr>
          <w:sz w:val="28"/>
          <w:szCs w:val="28"/>
        </w:rPr>
        <w:t>Соотношение лиц, зарегистрированных впервые в жизни с «синдромом зависимости от наркотиков», по полу составило в 2024 году М : Ж = 3,1 : 1, в процентном соотношении 75,8 % мужчин и 24,2 % женщин. В</w:t>
      </w:r>
      <w:r>
        <w:rPr>
          <w:sz w:val="28"/>
          <w:szCs w:val="28"/>
        </w:rPr>
        <w:t xml:space="preserve"> 2023 году соотношение М : Ж = 3,3 : 1, в процентном соотношении – 76,9  % мужчин и 23,1 % женщин. Данная динамика отражает относительное сохранение доли мужчин, зарегистрированных с наркоманией впервые в жизни, на фоне увеличения общего числа новых случае</w:t>
      </w:r>
      <w:r>
        <w:rPr>
          <w:sz w:val="28"/>
          <w:szCs w:val="28"/>
        </w:rPr>
        <w:t>в наркомании.</w:t>
      </w:r>
    </w:p>
    <w:p w:rsidR="00DC1467" w:rsidRDefault="00B70D3E">
      <w:pPr>
        <w:pStyle w:val="af5"/>
        <w:spacing w:after="0" w:line="276" w:lineRule="auto"/>
        <w:ind w:firstLine="709"/>
        <w:jc w:val="both"/>
        <w:rPr>
          <w:sz w:val="28"/>
          <w:szCs w:val="28"/>
        </w:rPr>
      </w:pPr>
      <w:r>
        <w:rPr>
          <w:sz w:val="28"/>
          <w:szCs w:val="28"/>
        </w:rPr>
        <w:t>В структуре первичной заболеваемости наркоманией за 2024 год, также как в 2023 году, несовершеннолетних зарегистрировано не было.</w:t>
      </w:r>
    </w:p>
    <w:p w:rsidR="00DC1467" w:rsidRDefault="00B70D3E">
      <w:pPr>
        <w:pStyle w:val="af5"/>
        <w:spacing w:after="0" w:line="276" w:lineRule="auto"/>
        <w:ind w:firstLine="709"/>
        <w:jc w:val="both"/>
        <w:rPr>
          <w:sz w:val="28"/>
          <w:szCs w:val="28"/>
        </w:rPr>
      </w:pPr>
      <w:r>
        <w:rPr>
          <w:sz w:val="28"/>
          <w:szCs w:val="28"/>
        </w:rPr>
        <w:t>Превалирующая возрастная группа среди зарегистрированных впервые в жизни наркозависимых лиц – 20-39 лет 71,4 % (</w:t>
      </w:r>
      <w:r>
        <w:rPr>
          <w:sz w:val="28"/>
          <w:szCs w:val="28"/>
        </w:rPr>
        <w:t>в 2023 году – 75,6 %), с увеличением доли лиц в возрасте 40-59 лет до 27,5 % (в 2023 году – 23,1 %).</w:t>
      </w:r>
    </w:p>
    <w:p w:rsidR="00DC1467" w:rsidRDefault="00B70D3E">
      <w:pPr>
        <w:pStyle w:val="af5"/>
        <w:spacing w:after="0" w:line="276" w:lineRule="auto"/>
        <w:ind w:firstLine="709"/>
        <w:jc w:val="both"/>
        <w:rPr>
          <w:sz w:val="28"/>
          <w:szCs w:val="28"/>
        </w:rPr>
      </w:pPr>
      <w:r>
        <w:rPr>
          <w:sz w:val="28"/>
          <w:szCs w:val="28"/>
        </w:rPr>
        <w:t>Количество лиц, зарегистрированных с диагнозом «употребление наркотических веществ с вредными последствиями» (т.е. потребление с ущербом для физического ил</w:t>
      </w:r>
      <w:r>
        <w:rPr>
          <w:sz w:val="28"/>
          <w:szCs w:val="28"/>
        </w:rPr>
        <w:t>и психического здоровья, но с еще не сформированным синдромом зависимости), составило в 2024 году 843 человека, или 47,9 на 100 тыс. населения. В 2023 году их число составляло 912 человек, или 52,3 на 100 тыс. населения. Уменьшение составило 8,4 %. Распрос</w:t>
      </w:r>
      <w:r>
        <w:rPr>
          <w:sz w:val="28"/>
          <w:szCs w:val="28"/>
        </w:rPr>
        <w:t xml:space="preserve">траненность пагубного употребления наркотиков в целом </w:t>
      </w:r>
      <w:r>
        <w:rPr>
          <w:sz w:val="28"/>
          <w:szCs w:val="28"/>
        </w:rPr>
        <w:br/>
        <w:t>по ХМАО – Югре ниже, чем в РФ в 2,3 раза (111,2 на 100 тыс. населения в 2022 г.), и ниже в 2,0 раза, чем в УрФО (98,5 на 100 тыс. населения в 2022 г.).</w:t>
      </w:r>
    </w:p>
    <w:p w:rsidR="00DC1467" w:rsidRDefault="00B70D3E">
      <w:pPr>
        <w:pStyle w:val="af5"/>
        <w:spacing w:after="0" w:line="276" w:lineRule="auto"/>
        <w:ind w:firstLine="709"/>
        <w:jc w:val="both"/>
        <w:rPr>
          <w:sz w:val="28"/>
          <w:szCs w:val="28"/>
        </w:rPr>
      </w:pPr>
      <w:r>
        <w:rPr>
          <w:sz w:val="28"/>
          <w:szCs w:val="28"/>
        </w:rPr>
        <w:t>Общая распространенность пагубного употребления н</w:t>
      </w:r>
      <w:r>
        <w:rPr>
          <w:sz w:val="28"/>
          <w:szCs w:val="28"/>
        </w:rPr>
        <w:t>аркотиков среди несовершеннолетних в 2024 году составила 4,6 на 100 тыс. несовершеннолетних (абс. 20), что на 17,9 % выше, чем в 2023 году – 3,9 на 100 тыс. несовершеннолетних, или 17 несовершеннолетних.</w:t>
      </w:r>
    </w:p>
    <w:p w:rsidR="00DC1467" w:rsidRDefault="00B70D3E">
      <w:pPr>
        <w:pStyle w:val="af5"/>
        <w:spacing w:after="0" w:line="276" w:lineRule="auto"/>
        <w:ind w:firstLine="709"/>
        <w:jc w:val="both"/>
        <w:rPr>
          <w:sz w:val="28"/>
          <w:szCs w:val="28"/>
        </w:rPr>
      </w:pPr>
      <w:r>
        <w:rPr>
          <w:sz w:val="28"/>
          <w:szCs w:val="28"/>
        </w:rPr>
        <w:t>Уровень первичной заболеваемости пагубного употребления наркотиков без синдрома зависимости в автономном округе в 2024 году составил 5,2 на 100 тыс. населения, или 91 новый случай, что на 30,7 % ниже, чем в 2023 году, когда было выявлено 130 новых случаев,</w:t>
      </w:r>
      <w:r>
        <w:rPr>
          <w:sz w:val="28"/>
          <w:szCs w:val="28"/>
        </w:rPr>
        <w:t xml:space="preserve"> или 7,5 на 100 тыс. населения. Для сравнения, в Уральском Федеральном округе показатель за 2022 год составил 16,2 на 100 тыс. населения, по Российской Федерации – 14,9 на 100 тыс. населения. </w:t>
      </w:r>
    </w:p>
    <w:p w:rsidR="00DC1467" w:rsidRDefault="00B70D3E">
      <w:pPr>
        <w:pStyle w:val="af5"/>
        <w:spacing w:after="0" w:line="276" w:lineRule="auto"/>
        <w:ind w:firstLine="709"/>
        <w:jc w:val="both"/>
        <w:rPr>
          <w:sz w:val="28"/>
          <w:szCs w:val="28"/>
        </w:rPr>
      </w:pPr>
      <w:r>
        <w:rPr>
          <w:sz w:val="28"/>
          <w:szCs w:val="28"/>
        </w:rPr>
        <w:t xml:space="preserve">В структуре первичной заболеваемости </w:t>
      </w:r>
      <w:r>
        <w:rPr>
          <w:color w:val="000000"/>
          <w:sz w:val="28"/>
          <w:szCs w:val="28"/>
        </w:rPr>
        <w:t>пагубного употребления нар</w:t>
      </w:r>
      <w:r>
        <w:rPr>
          <w:color w:val="000000"/>
          <w:sz w:val="28"/>
          <w:szCs w:val="28"/>
        </w:rPr>
        <w:t>котиков</w:t>
      </w:r>
      <w:r>
        <w:rPr>
          <w:sz w:val="28"/>
          <w:szCs w:val="28"/>
        </w:rPr>
        <w:t xml:space="preserve"> за 2024 год было зарегистрировано 12 несовершеннолетних пациентов (АППГ – 7), один ребенок в возрасте до 14 лет в г. Радужный и одиннадцать подростков в возрасте 15-17 лет (четыре в г. Сургуте и по одному в гг. Когалым, Нижневартовск, Нягань, Покач</w:t>
      </w:r>
      <w:r>
        <w:rPr>
          <w:sz w:val="28"/>
          <w:szCs w:val="28"/>
        </w:rPr>
        <w:t>и, Радужный, Ханты-Мансийск и Сургутский район). В 2023 году зарегистрировано 7 несовершеннолетних пациентов, один ребенок в возрасте до 14 лет в г. Сургуте и шесть подростков в возрасте 15-17 лет (четыре в г. Сургуте и два в Сургутском районе).</w:t>
      </w:r>
    </w:p>
    <w:p w:rsidR="00DC1467" w:rsidRDefault="00B70D3E">
      <w:pPr>
        <w:pStyle w:val="af5"/>
        <w:spacing w:after="0" w:line="276" w:lineRule="auto"/>
        <w:ind w:firstLine="709"/>
        <w:jc w:val="both"/>
        <w:rPr>
          <w:sz w:val="28"/>
          <w:szCs w:val="28"/>
        </w:rPr>
      </w:pPr>
      <w:r>
        <w:rPr>
          <w:sz w:val="28"/>
          <w:szCs w:val="28"/>
        </w:rPr>
        <w:t>Эта динами</w:t>
      </w:r>
      <w:r>
        <w:rPr>
          <w:sz w:val="28"/>
          <w:szCs w:val="28"/>
        </w:rPr>
        <w:t>ка объясняется как ростом числа обращений за медицинской наркологической помощью среди лиц, употребляющих психоактивные вещества без сформированной зависимости, так и успешностью мероприятий, направленных на раннее выявление незаконного потребления и огран</w:t>
      </w:r>
      <w:r>
        <w:rPr>
          <w:sz w:val="28"/>
          <w:szCs w:val="28"/>
        </w:rPr>
        <w:t>ичение возможностей приобретения наркотиков. Результате достигаются благодаря масштабным санитарно-просветительским и профилактическим кампаниям, охватывающим различные группы населения. В их числе:</w:t>
      </w:r>
    </w:p>
    <w:p w:rsidR="00DC1467" w:rsidRDefault="00B70D3E">
      <w:pPr>
        <w:pStyle w:val="af5"/>
        <w:spacing w:after="0" w:line="276" w:lineRule="auto"/>
        <w:ind w:firstLine="709"/>
        <w:jc w:val="both"/>
        <w:rPr>
          <w:sz w:val="28"/>
          <w:szCs w:val="28"/>
        </w:rPr>
      </w:pPr>
      <w:r>
        <w:rPr>
          <w:sz w:val="28"/>
          <w:szCs w:val="28"/>
        </w:rPr>
        <w:t>медицинские профилактические осмотры обучающихся;</w:t>
      </w:r>
    </w:p>
    <w:p w:rsidR="00DC1467" w:rsidRDefault="00B70D3E">
      <w:pPr>
        <w:pStyle w:val="af5"/>
        <w:spacing w:after="0" w:line="276" w:lineRule="auto"/>
        <w:ind w:firstLine="709"/>
        <w:jc w:val="both"/>
        <w:rPr>
          <w:sz w:val="28"/>
          <w:szCs w:val="28"/>
        </w:rPr>
      </w:pPr>
      <w:r>
        <w:rPr>
          <w:sz w:val="28"/>
          <w:szCs w:val="28"/>
        </w:rPr>
        <w:t>предвар</w:t>
      </w:r>
      <w:r>
        <w:rPr>
          <w:sz w:val="28"/>
          <w:szCs w:val="28"/>
        </w:rPr>
        <w:t>ительные, периодические и профилактические медицинские осмотры работающего населения;</w:t>
      </w:r>
    </w:p>
    <w:p w:rsidR="00DC1467" w:rsidRDefault="00B70D3E">
      <w:pPr>
        <w:pStyle w:val="af5"/>
        <w:spacing w:after="0" w:line="276" w:lineRule="auto"/>
        <w:ind w:firstLine="709"/>
        <w:jc w:val="both"/>
        <w:rPr>
          <w:sz w:val="28"/>
          <w:szCs w:val="28"/>
        </w:rPr>
      </w:pPr>
      <w:r>
        <w:rPr>
          <w:sz w:val="28"/>
          <w:szCs w:val="28"/>
        </w:rPr>
        <w:t>принятие правовых мер в отношении лиц, употребляющих наркотические средства и психотропные вещества без назначения врача.</w:t>
      </w:r>
    </w:p>
    <w:p w:rsidR="00DC1467" w:rsidRDefault="00B70D3E">
      <w:pPr>
        <w:pStyle w:val="af5"/>
        <w:spacing w:after="0" w:line="276" w:lineRule="auto"/>
        <w:ind w:firstLine="709"/>
        <w:jc w:val="both"/>
        <w:rPr>
          <w:sz w:val="28"/>
          <w:szCs w:val="28"/>
        </w:rPr>
      </w:pPr>
      <w:r>
        <w:rPr>
          <w:sz w:val="28"/>
          <w:szCs w:val="28"/>
        </w:rPr>
        <w:t>Данные меры способствуют созданию среды, в котор</w:t>
      </w:r>
      <w:r>
        <w:rPr>
          <w:sz w:val="28"/>
          <w:szCs w:val="28"/>
        </w:rPr>
        <w:t>ой раннее выявление и предотвращение наркопотребления становятся более эффективными.</w:t>
      </w:r>
    </w:p>
    <w:p w:rsidR="00DC1467" w:rsidRDefault="00DC1467">
      <w:pPr>
        <w:pStyle w:val="af5"/>
        <w:spacing w:after="0" w:line="276" w:lineRule="auto"/>
        <w:ind w:firstLine="709"/>
        <w:jc w:val="both"/>
        <w:rPr>
          <w:b/>
          <w:i/>
          <w:sz w:val="28"/>
          <w:szCs w:val="28"/>
          <w:highlight w:val="yellow"/>
        </w:rPr>
      </w:pPr>
    </w:p>
    <w:p w:rsidR="00DC1467" w:rsidRDefault="00B70D3E">
      <w:pPr>
        <w:spacing w:line="276" w:lineRule="auto"/>
        <w:ind w:firstLine="709"/>
        <w:outlineLvl w:val="0"/>
        <w:rPr>
          <w:b/>
          <w:i/>
        </w:rPr>
      </w:pPr>
      <w:r>
        <w:rPr>
          <w:b/>
          <w:i/>
        </w:rPr>
        <w:t>Муниципальные образования, в которых произошли наибольшие изменения (как положительные, так и отрицательные) основных показателей, отражающих развитие наркоситуации</w:t>
      </w:r>
      <w:r>
        <w:rPr>
          <w:b/>
          <w:i/>
        </w:rPr>
        <w:t xml:space="preserve"> в автономном округе, по сравнению с аналогичным периодом прошлого года</w:t>
      </w:r>
    </w:p>
    <w:p w:rsidR="00DC1467" w:rsidRDefault="00B70D3E">
      <w:pPr>
        <w:spacing w:line="276" w:lineRule="auto"/>
        <w:ind w:firstLine="709"/>
      </w:pPr>
      <w:r>
        <w:t>1. </w:t>
      </w:r>
      <w:r>
        <w:rPr>
          <w:b/>
          <w:u w:val="single"/>
        </w:rPr>
        <w:t>Город Когалым</w:t>
      </w:r>
      <w:r>
        <w:t>, в данном муниципальном образовании прослеживаются следующие тенденции:</w:t>
      </w:r>
    </w:p>
    <w:p w:rsidR="00DC1467" w:rsidRDefault="00B70D3E">
      <w:pPr>
        <w:spacing w:line="276" w:lineRule="auto"/>
        <w:ind w:firstLine="709"/>
      </w:pPr>
      <w:r>
        <w:t>- стабилизация показателя на уровне 2023 года по числу лиц, зарегистрированных с диагнозом «нар</w:t>
      </w:r>
      <w:r>
        <w:t>комания», при перерасчете на 100 тыс. населения: 2023 год – 31,6 (20) и 2024 год – 31,3 (20), за счет изменения общей численности населения в муниципальном образовании отмечается снижение болезненности наркоманией на 0,9 %;</w:t>
      </w:r>
    </w:p>
    <w:p w:rsidR="00DC1467" w:rsidRDefault="00B70D3E">
      <w:pPr>
        <w:spacing w:line="276" w:lineRule="auto"/>
        <w:ind w:firstLine="709"/>
      </w:pPr>
      <w:r>
        <w:t>- снижение по числу лиц, зарегис</w:t>
      </w:r>
      <w:r>
        <w:t xml:space="preserve">трированных с диагнозом «потребление наркотических средств с вредными последствиями» на 28,2 %, при перерасчете на 100 тыс. населения: 2023 год – 34,8 (22) и 2024 г. – 25,0 (16), из них несовершеннолетних увеличение с 0 случаев в 2023 году </w:t>
      </w:r>
      <w:r>
        <w:br/>
        <w:t>до 1 случая (5,</w:t>
      </w:r>
      <w:r>
        <w:t>8 на 100 тыс. несовершеннолетних) в 2024 году;</w:t>
      </w:r>
    </w:p>
    <w:p w:rsidR="00DC1467" w:rsidRDefault="00B70D3E">
      <w:pPr>
        <w:spacing w:line="276" w:lineRule="auto"/>
        <w:ind w:firstLine="709"/>
      </w:pPr>
      <w:r>
        <w:t>- наблюдается снижение числа лиц с впервые в жизни установленным диагнозом «наркомания» с 3 случаев (4,7 на 100 тыс. населения) в 2023 году до 1 случая (1,6 на 100 тыс. населения) в 2024 году;</w:t>
      </w:r>
    </w:p>
    <w:p w:rsidR="00DC1467" w:rsidRDefault="00B70D3E">
      <w:pPr>
        <w:spacing w:line="276" w:lineRule="auto"/>
        <w:ind w:firstLine="709"/>
      </w:pPr>
      <w:r>
        <w:t>- снижение числа</w:t>
      </w:r>
      <w:r>
        <w:t xml:space="preserve"> лиц, впервые зарегистрированных с диагнозом «потребление наркотических средств с вредными последствиями» с 8 случаев (12,7 на 100 тыс. населения) в 2023 году до 4 случаев (6,3 на 100 тыс. населения) в 2024 году, из них среди несовершеннолетних увеличение </w:t>
      </w:r>
      <w:r>
        <w:t>с 0 случаев в 2023 году до 1 случая (5,8 на 100 тыс. несовершеннолетних) в 2024 году;</w:t>
      </w:r>
    </w:p>
    <w:p w:rsidR="00DC1467" w:rsidRDefault="00B70D3E">
      <w:pPr>
        <w:spacing w:line="276" w:lineRule="auto"/>
        <w:ind w:firstLine="709"/>
      </w:pPr>
      <w:r>
        <w:t>- увеличение количества отравлений наркотическими средствами и психотропными веществами со смертельными исходами с 0 случаев в 2023 году до 2 случаев (3,1 на 100 тыс. нас</w:t>
      </w:r>
      <w:r>
        <w:t>еления) в 2024 году.</w:t>
      </w:r>
    </w:p>
    <w:p w:rsidR="00DC1467" w:rsidRDefault="00B70D3E">
      <w:pPr>
        <w:spacing w:line="276" w:lineRule="auto"/>
        <w:ind w:firstLine="709"/>
      </w:pPr>
      <w:r>
        <w:t>2. </w:t>
      </w:r>
      <w:r>
        <w:rPr>
          <w:b/>
          <w:u w:val="single"/>
        </w:rPr>
        <w:t>Город Лангепас</w:t>
      </w:r>
      <w:r>
        <w:t>, в данном муниципальном образовании прослеживаются следующие тенденции:</w:t>
      </w:r>
    </w:p>
    <w:p w:rsidR="00DC1467" w:rsidRDefault="00B70D3E">
      <w:pPr>
        <w:spacing w:line="276" w:lineRule="auto"/>
        <w:ind w:firstLine="709"/>
      </w:pPr>
      <w:r>
        <w:t xml:space="preserve">- уменьшение по числу лиц, зарегистрированных с диагнозом «наркомания», на 35,8 %, при перерасчете на 100 тыс. населения: 2023 год – 99,5 (46) и </w:t>
      </w:r>
      <w:r>
        <w:t>2024 год – 63,9 (29);</w:t>
      </w:r>
    </w:p>
    <w:p w:rsidR="00DC1467" w:rsidRDefault="00B70D3E">
      <w:pPr>
        <w:spacing w:line="276" w:lineRule="auto"/>
        <w:ind w:firstLine="709"/>
      </w:pPr>
      <w:r>
        <w:t>- снижение по числу лиц, зарегистрированных с диагнозом «потребление наркотических средств с вредными последствиями», в 1,9 раза, при перерасчете на 100 тыс. населения: 2023 год – 138,5 (64) и 2024 год – 72,7 (33);</w:t>
      </w:r>
    </w:p>
    <w:p w:rsidR="00DC1467" w:rsidRDefault="00B70D3E">
      <w:pPr>
        <w:spacing w:line="276" w:lineRule="auto"/>
        <w:ind w:firstLine="709"/>
      </w:pPr>
      <w:r>
        <w:t>- наблюдается сниже</w:t>
      </w:r>
      <w:r>
        <w:t>ние числа лиц с впервые в жизни установленным диагнозом «наркомания» в 3,4 раза, при перерасчете на 100 тыс. населения: 2023 год – 15,1 (7) и 2024 год – 4,4 (2);</w:t>
      </w:r>
    </w:p>
    <w:p w:rsidR="00DC1467" w:rsidRDefault="00B70D3E">
      <w:pPr>
        <w:spacing w:line="276" w:lineRule="auto"/>
        <w:ind w:firstLine="709"/>
      </w:pPr>
      <w:r>
        <w:t>- снижение числа лиц, впервые зарегистрированных с диагнозом «потребление наркотических средст</w:t>
      </w:r>
      <w:r>
        <w:t>в с вредными последствиями», в 6,1 раза, при перерасчете на 100 тыс. населения: 2023 год – 54,1 (25) и 2024 год – 8,8 (4);</w:t>
      </w:r>
    </w:p>
    <w:p w:rsidR="00DC1467" w:rsidRDefault="00B70D3E">
      <w:pPr>
        <w:spacing w:line="276" w:lineRule="auto"/>
        <w:ind w:firstLine="709"/>
      </w:pPr>
      <w:r>
        <w:t>- уменьшение количества отравлений наркотическими средствами и психотропными веществами со смертельными исходами с 6 случаев (13,0 на</w:t>
      </w:r>
      <w:r>
        <w:t xml:space="preserve"> 100 тыс. населения) в 2023 году до 1 случая (2,2 на 100 тыс. населения) в 2024 году.</w:t>
      </w:r>
    </w:p>
    <w:p w:rsidR="00DC1467" w:rsidRDefault="00B70D3E">
      <w:pPr>
        <w:spacing w:line="276" w:lineRule="auto"/>
        <w:ind w:firstLine="709"/>
      </w:pPr>
      <w:r>
        <w:t>3. </w:t>
      </w:r>
      <w:r>
        <w:rPr>
          <w:b/>
          <w:u w:val="single"/>
        </w:rPr>
        <w:t>Город Мегион</w:t>
      </w:r>
      <w:r>
        <w:t>, в нем прослеживаются следующие тенденции:</w:t>
      </w:r>
    </w:p>
    <w:p w:rsidR="00DC1467" w:rsidRDefault="00B70D3E">
      <w:pPr>
        <w:spacing w:line="276" w:lineRule="auto"/>
        <w:ind w:firstLine="709"/>
      </w:pPr>
      <w:r>
        <w:t>- уменьшение по числу лиц, зарегистрированных с диагнозом «наркомания», на 19,3%, при перерасчете на 100 тыс. н</w:t>
      </w:r>
      <w:r>
        <w:t>аселения: 2023 год – 132,9 (79) и 2024 год – 107,2 (64);</w:t>
      </w:r>
    </w:p>
    <w:p w:rsidR="00DC1467" w:rsidRDefault="00B70D3E">
      <w:pPr>
        <w:spacing w:line="276" w:lineRule="auto"/>
        <w:ind w:firstLine="709"/>
      </w:pPr>
      <w:r>
        <w:t>- снижение по числу лиц, зарегистрированных с диагнозом «потребление наркотических средств с вредными последствиями», на 11,0 %, при перерасчете на 100 тыс. населения: 2023 год – 63,9 (38) и 2024 год</w:t>
      </w:r>
      <w:r>
        <w:t xml:space="preserve"> – 56,9 (34);</w:t>
      </w:r>
    </w:p>
    <w:p w:rsidR="00DC1467" w:rsidRDefault="00B70D3E">
      <w:pPr>
        <w:spacing w:line="276" w:lineRule="auto"/>
        <w:ind w:firstLine="709"/>
      </w:pPr>
      <w:r>
        <w:t>- наблюдается снижение числа лиц с впервые в жизни установленным диагнозом «наркомания», на 20,2%, при перерасчете на 100 тыс. населения: 2023 год – 8,4 (5) и 2024 год – 6,7 (4);</w:t>
      </w:r>
    </w:p>
    <w:p w:rsidR="00DC1467" w:rsidRDefault="00B70D3E">
      <w:pPr>
        <w:spacing w:line="276" w:lineRule="auto"/>
        <w:ind w:firstLine="709"/>
      </w:pPr>
      <w:r>
        <w:t>- снижение числа лиц, впервые зарегистрированных с диагнозом «потребление наркотических средств с вредными последствиями», с 3 случаев (5,0 на 100 тыс. населения) в 2023 году до 1 случая (1,7 на 100 тыс. населения) в 2024 году;</w:t>
      </w:r>
    </w:p>
    <w:p w:rsidR="00DC1467" w:rsidRDefault="00B70D3E">
      <w:pPr>
        <w:spacing w:line="276" w:lineRule="auto"/>
        <w:ind w:firstLine="709"/>
      </w:pPr>
      <w:r>
        <w:t>- увеличение количества отра</w:t>
      </w:r>
      <w:r>
        <w:t>влений наркотическими средствами и психотропными веществами со смертельными исходами с 3 случаев (5,0 на 100 тыс. населения) в 2023 году до 5 случаев (8,4 на 100 тыс. населения) в 2024 году.</w:t>
      </w:r>
    </w:p>
    <w:p w:rsidR="00DC1467" w:rsidRDefault="00B70D3E">
      <w:pPr>
        <w:spacing w:line="276" w:lineRule="auto"/>
        <w:ind w:firstLine="709"/>
      </w:pPr>
      <w:r>
        <w:t>4. </w:t>
      </w:r>
      <w:r>
        <w:rPr>
          <w:b/>
          <w:u w:val="single"/>
        </w:rPr>
        <w:t>Город Нефтеюганск</w:t>
      </w:r>
      <w:r>
        <w:t>, в данном муниципальном образовании прослежи</w:t>
      </w:r>
      <w:r>
        <w:t>ваются следующие тенденции:</w:t>
      </w:r>
    </w:p>
    <w:p w:rsidR="00DC1467" w:rsidRDefault="00B70D3E">
      <w:pPr>
        <w:spacing w:line="276" w:lineRule="auto"/>
        <w:ind w:firstLine="709"/>
      </w:pPr>
      <w:r>
        <w:t>- уменьшение по числу лиц, зарегистрированных с диагнозом «наркомания», на 14,7%, при перерасчете на 100 тыс. населения: 2023 год – 62,0 (78) и 2024 год – 52,9 (67);</w:t>
      </w:r>
    </w:p>
    <w:p w:rsidR="00DC1467" w:rsidRDefault="00B70D3E">
      <w:pPr>
        <w:spacing w:line="276" w:lineRule="auto"/>
        <w:ind w:firstLine="709"/>
      </w:pPr>
      <w:r>
        <w:t>- снижение по числу лиц, зарегистрированных с диагнозом «потре</w:t>
      </w:r>
      <w:r>
        <w:t>бление наркотических средств с вредными последствиями», на 31,5 %, при перерасчете на 100 тыс. населения: 2023 год – 12,7 (16) и 2024 год – 8,7 (11);</w:t>
      </w:r>
    </w:p>
    <w:p w:rsidR="00DC1467" w:rsidRDefault="00B70D3E">
      <w:pPr>
        <w:spacing w:line="276" w:lineRule="auto"/>
        <w:ind w:firstLine="709"/>
      </w:pPr>
      <w:r>
        <w:t>- наблюдается увеличение числа лиц с впервые в жизни установленным диагнозом «наркомания» с 3 случаев (2,4</w:t>
      </w:r>
      <w:r>
        <w:t xml:space="preserve"> на 100 тыс. населения) в 2023 году до 5 случаев (3,9 на 100 тыс. населения) в 2024 году;</w:t>
      </w:r>
    </w:p>
    <w:p w:rsidR="00DC1467" w:rsidRDefault="00B70D3E">
      <w:pPr>
        <w:spacing w:line="276" w:lineRule="auto"/>
        <w:ind w:firstLine="709"/>
      </w:pPr>
      <w:r>
        <w:t>- снижение числа лиц, впервые зарегистрированных с диагнозом «потребление наркотических средств с вредными последствиями», на 33,3%, при перерасчете на 100 тыс. насел</w:t>
      </w:r>
      <w:r>
        <w:t>ения: 2023 год - 2,4 (3) и 2024 год – 1,6 (2);</w:t>
      </w:r>
    </w:p>
    <w:p w:rsidR="00DC1467" w:rsidRDefault="00B70D3E">
      <w:pPr>
        <w:spacing w:line="276" w:lineRule="auto"/>
        <w:ind w:firstLine="709"/>
      </w:pPr>
      <w:r>
        <w:t>- уменьшение количества отравлений наркотическими средствами и психотропными веществами со смертельными исходами с 4 случаев (3,2 на 100 тыс. населения) в 2023 году до 2 случаев (1,6 на 100 тыс. населения) в 2</w:t>
      </w:r>
      <w:r>
        <w:t>024 году.</w:t>
      </w:r>
    </w:p>
    <w:p w:rsidR="00DC1467" w:rsidRDefault="00B70D3E">
      <w:pPr>
        <w:spacing w:line="276" w:lineRule="auto"/>
        <w:ind w:firstLine="709"/>
      </w:pPr>
      <w:r>
        <w:t>5. </w:t>
      </w:r>
      <w:r>
        <w:rPr>
          <w:b/>
          <w:u w:val="single"/>
        </w:rPr>
        <w:t>Город Нижневартовск</w:t>
      </w:r>
      <w:r>
        <w:t>, в данном муниципальном образовании прослеживаются следующие тенденции:</w:t>
      </w:r>
    </w:p>
    <w:p w:rsidR="00DC1467" w:rsidRDefault="00B70D3E">
      <w:pPr>
        <w:spacing w:line="276" w:lineRule="auto"/>
        <w:ind w:firstLine="709"/>
      </w:pPr>
      <w:r>
        <w:t xml:space="preserve">- уменьшение по числу лиц, зарегистрированных с диагнозом «наркомания», на 3,7 %, при перерасчете на 100 тыс. населения: 2023 год – 144,7 (418) и 2024 </w:t>
      </w:r>
      <w:r>
        <w:t>год – 139,4 (405);</w:t>
      </w:r>
    </w:p>
    <w:p w:rsidR="00DC1467" w:rsidRDefault="00B70D3E">
      <w:pPr>
        <w:spacing w:line="276" w:lineRule="auto"/>
        <w:ind w:firstLine="709"/>
      </w:pPr>
      <w:r>
        <w:t>- стабилизация показателя на уровне 2023 года по числу лиц, зарегистрированных с диагнозом «потребление наркотических средств с вредными последствиями», при перерасчете на 100 тыс. населения: 2023 год – 98,0 (283) и 2024 год – 97,4 (283)</w:t>
      </w:r>
      <w:r>
        <w:t>; за счет изменения общей численности населения в муниципальном образовании отмечается снижение показателя на 0,6%, из них среди несовершеннолетних увеличение с 0 случаев в 2023 году до 1 случая (1,5 на 100 тыс. несовершеннолетних) в 2024 году;</w:t>
      </w:r>
    </w:p>
    <w:p w:rsidR="00DC1467" w:rsidRDefault="00B70D3E">
      <w:pPr>
        <w:spacing w:line="276" w:lineRule="auto"/>
        <w:ind w:firstLine="709"/>
      </w:pPr>
      <w:r>
        <w:t>- наблюдает</w:t>
      </w:r>
      <w:r>
        <w:t>ся увеличение числа лиц с впервые в жизни установленным диагнозом «наркомания» в 1,5 раза, при перерасчете на 100 тыс. населения: 2023 год – 3,8 (11) и 2024 год – 5,9 (17);</w:t>
      </w:r>
    </w:p>
    <w:p w:rsidR="00DC1467" w:rsidRDefault="00B70D3E">
      <w:pPr>
        <w:spacing w:line="276" w:lineRule="auto"/>
        <w:ind w:firstLine="709"/>
      </w:pPr>
      <w:r>
        <w:t>- увеличение числа лиц, впервые зарегистрированных с диагнозом «потребление наркоти</w:t>
      </w:r>
      <w:r>
        <w:t>ческих средств с вредными последствиями», на 28,6%, при перерасчете на 100 тыс. населения: 2023 год – 3,5 (10) и 2024 год – 4,5 (13), из них среди несовершеннолетних увеличение с 0 случаев в 2023 году до 1 случая (1,5 на 100 тыс. несовершеннолетних) в 2024</w:t>
      </w:r>
      <w:r>
        <w:t xml:space="preserve"> году;</w:t>
      </w:r>
    </w:p>
    <w:p w:rsidR="00DC1467" w:rsidRDefault="00B70D3E">
      <w:pPr>
        <w:spacing w:line="276" w:lineRule="auto"/>
        <w:ind w:firstLine="709"/>
      </w:pPr>
      <w:r>
        <w:t>- увеличение количества отравлений наркотическими средствами и психотропными веществами со смертельными исходами на 17,1%, при перерасчете на 100 тыс. населения: 2023 год – 3,5 (10) и 2024 год – 4,1 (12).</w:t>
      </w:r>
    </w:p>
    <w:p w:rsidR="00DC1467" w:rsidRDefault="00B70D3E">
      <w:pPr>
        <w:spacing w:line="276" w:lineRule="auto"/>
        <w:ind w:firstLine="709"/>
      </w:pPr>
      <w:r>
        <w:t>6. </w:t>
      </w:r>
      <w:r>
        <w:rPr>
          <w:b/>
          <w:u w:val="single"/>
        </w:rPr>
        <w:t>Город Нягань</w:t>
      </w:r>
      <w:r>
        <w:t>, в нем прослеживаются следую</w:t>
      </w:r>
      <w:r>
        <w:t>щие тенденции:</w:t>
      </w:r>
    </w:p>
    <w:p w:rsidR="00DC1467" w:rsidRDefault="00B70D3E">
      <w:pPr>
        <w:spacing w:line="276" w:lineRule="auto"/>
        <w:ind w:firstLine="709"/>
      </w:pPr>
      <w:r>
        <w:t>- уменьшение по числу лиц, зарегистрированных с диагнозом «наркомания», на 17,5%, при перерасчете на 100 тыс. населения: 2023 год – 120,4 (81) и 2024 год – 99,3 (67);</w:t>
      </w:r>
    </w:p>
    <w:p w:rsidR="00DC1467" w:rsidRDefault="00B70D3E">
      <w:pPr>
        <w:spacing w:line="276" w:lineRule="auto"/>
        <w:ind w:firstLine="709"/>
      </w:pPr>
      <w:r>
        <w:t>- снижение по числу лиц, зарегистрированных с диагнозом «потребление нарко</w:t>
      </w:r>
      <w:r>
        <w:t xml:space="preserve">тических средств с вредными последствиями», на 18,7%, при перерасчете на 100 тыс. населения: 2023 год – 136,8 (92) и 2024 год – 111,2 (75), из них среди несовершеннолетних увеличение с 0 случаев в 2023 году до 1 случая (6,1 на 100 тыс. несовершеннолетних) </w:t>
      </w:r>
      <w:r>
        <w:t>в 2024 году;</w:t>
      </w:r>
    </w:p>
    <w:p w:rsidR="00DC1467" w:rsidRDefault="00B70D3E">
      <w:pPr>
        <w:spacing w:line="276" w:lineRule="auto"/>
        <w:ind w:firstLine="709"/>
      </w:pPr>
      <w:r>
        <w:t>- стабилизация показателя на уровне 2023 года по числу лиц, зарегистрированных впервые в жизни с диагнозом «наркомания», при перерасчете на 100 тыс. населения: 2023 год – 4,5 (3) и 2024 год – 4,4 (3), за счет изменения общей численности населе</w:t>
      </w:r>
      <w:r>
        <w:t>ния в муниципальном образовании отмечается снижение показателя на 2,2%;</w:t>
      </w:r>
    </w:p>
    <w:p w:rsidR="00DC1467" w:rsidRDefault="00B70D3E">
      <w:pPr>
        <w:spacing w:line="276" w:lineRule="auto"/>
        <w:ind w:firstLine="709"/>
      </w:pPr>
      <w:r>
        <w:t>- снижение числа лиц, впервые зарегистрированных с диагнозом «потребление наркотических средств с вредными последствиями» на 28,8%, при перерасчете на 100 тыс. населения: 2023 год – 10</w:t>
      </w:r>
      <w:r>
        <w:t>,4 (7) и 2024 год – 7,4 (5), из них среди несовершеннолетних увеличение с 0 случаев в 2023 году до 1 случая (6,1 на 100 тыс. несовершеннолетних) в 2024 году;</w:t>
      </w:r>
    </w:p>
    <w:p w:rsidR="00DC1467" w:rsidRDefault="00B70D3E">
      <w:pPr>
        <w:spacing w:line="276" w:lineRule="auto"/>
        <w:ind w:firstLine="709"/>
      </w:pPr>
      <w:r>
        <w:t>- смертельных отравлений наркотическими средствами и психотропными веществами в 2023-2024 годах не</w:t>
      </w:r>
      <w:r>
        <w:t xml:space="preserve"> зарегистрировано.</w:t>
      </w:r>
    </w:p>
    <w:p w:rsidR="00DC1467" w:rsidRDefault="00B70D3E">
      <w:pPr>
        <w:spacing w:line="276" w:lineRule="auto"/>
        <w:ind w:firstLine="709"/>
      </w:pPr>
      <w:r>
        <w:t>7. </w:t>
      </w:r>
      <w:r>
        <w:rPr>
          <w:b/>
          <w:u w:val="single"/>
        </w:rPr>
        <w:t>Город Покачи</w:t>
      </w:r>
      <w:r>
        <w:t>, в данном муниципалитете прослеживаются следующие тенденции:</w:t>
      </w:r>
    </w:p>
    <w:p w:rsidR="00DC1467" w:rsidRDefault="00B70D3E">
      <w:pPr>
        <w:spacing w:line="276" w:lineRule="auto"/>
        <w:ind w:firstLine="709"/>
      </w:pPr>
      <w:r>
        <w:t>- стабилизация показателя на уровне 2023 года по числу ли</w:t>
      </w:r>
      <w:r>
        <w:t>ц, зарегистрированных с диагнозом «наркомания», при перерасчете на 100 тыс. населения: 2023 год – 6,1 (1) и 2024 год – 6,0 (1), за счет изменения общей численности населения в муниципальном образовании отмечается снижение болезненности наркоманией на 1,6%;</w:t>
      </w:r>
    </w:p>
    <w:p w:rsidR="00DC1467" w:rsidRDefault="00B70D3E">
      <w:pPr>
        <w:spacing w:line="276" w:lineRule="auto"/>
        <w:ind w:firstLine="709"/>
      </w:pPr>
      <w:r>
        <w:t>- наблюдается увеличение числа лиц, зарегистрированных с диагнозом «потребление наркотических средств с вредными последствиями», с 4 случаев (24,4 на 100 тыс. населения) в 2023 году до 6 случаев (36,2 на 100 тыс. населения) в 2024 году, из них среди несов</w:t>
      </w:r>
      <w:r>
        <w:t>ершеннолетних увеличение с 0 случаев в 2023 году до 1 случая (20,8 на 100 тыс. несовершеннолетних) в 2024 году;</w:t>
      </w:r>
    </w:p>
    <w:p w:rsidR="00DC1467" w:rsidRDefault="00B70D3E">
      <w:pPr>
        <w:spacing w:line="276" w:lineRule="auto"/>
        <w:ind w:firstLine="709"/>
      </w:pPr>
      <w:r>
        <w:t>- наблюдается уменьшение числа лиц, впервые в жизни зарегистрированных с диагнозом «наркомания», с 1 случая (6,1 на 100 тыс. населения) в 2023 г</w:t>
      </w:r>
      <w:r>
        <w:t>оду до 0 случаев в 2024 году;</w:t>
      </w:r>
    </w:p>
    <w:p w:rsidR="00DC1467" w:rsidRDefault="00B70D3E">
      <w:pPr>
        <w:spacing w:line="276" w:lineRule="auto"/>
        <w:ind w:firstLine="709"/>
      </w:pPr>
      <w:r>
        <w:t xml:space="preserve">- снижение числа лиц, впервые зарегистрированных с диагнозом «потребление наркотических средств с вредными последствиями», на 25,8%, при перерасчете на 100 тыс. населения: 2023 г. – 24,4 (4) и 2024 г. – 18,1 (3), из них среди </w:t>
      </w:r>
      <w:r>
        <w:t>несовершеннолетних увеличение с 0 случаев в 2023 году до 1 случая (20,8 на 100 тыс. несовершеннолетних) в 2024 году;</w:t>
      </w:r>
    </w:p>
    <w:p w:rsidR="00DC1467" w:rsidRDefault="00B70D3E">
      <w:pPr>
        <w:spacing w:line="276" w:lineRule="auto"/>
        <w:ind w:firstLine="709"/>
      </w:pPr>
      <w:r>
        <w:t>- уменьшение количества отравлений наркотическими средствами и психотропными веществами со смертельными исходами с 1 случая (6,1 на 100 тыс</w:t>
      </w:r>
      <w:r>
        <w:t>. населения) в 2023 году до 0 случаев в 2024 году.</w:t>
      </w:r>
    </w:p>
    <w:p w:rsidR="00DC1467" w:rsidRDefault="00B70D3E">
      <w:pPr>
        <w:spacing w:line="276" w:lineRule="auto"/>
        <w:ind w:firstLine="709"/>
      </w:pPr>
      <w:r>
        <w:t>8. </w:t>
      </w:r>
      <w:r>
        <w:rPr>
          <w:b/>
          <w:u w:val="single"/>
        </w:rPr>
        <w:t>Город Пыть-Ях</w:t>
      </w:r>
      <w:r>
        <w:t>, в этом городе прослеживаются следующие тенденции:</w:t>
      </w:r>
    </w:p>
    <w:p w:rsidR="00DC1467" w:rsidRDefault="00B70D3E">
      <w:pPr>
        <w:spacing w:line="276" w:lineRule="auto"/>
        <w:ind w:firstLine="709"/>
      </w:pPr>
      <w:r>
        <w:t>- уменьшение по числу лиц, зарегистрированных с диагнозом «наркомания», на 14,0%, при перерасчете на 100 тыс. населения: 2023 год – 180,7</w:t>
      </w:r>
      <w:r>
        <w:t xml:space="preserve"> (73) и 2024 год – 155,4 (63);</w:t>
      </w:r>
    </w:p>
    <w:p w:rsidR="00DC1467" w:rsidRDefault="00B70D3E">
      <w:pPr>
        <w:spacing w:line="276" w:lineRule="auto"/>
        <w:ind w:firstLine="709"/>
      </w:pPr>
      <w:r>
        <w:t>- снижение по числу лиц, зарегистрированных с диагнозом «потребление наркотических средств с вредными последствиями», на 12,5 %, при перерасчете на 100 тыс. населения: 2023 год – 121,3 (49) и 2024 год – 106,1 (43);</w:t>
      </w:r>
    </w:p>
    <w:p w:rsidR="00DC1467" w:rsidRDefault="00B70D3E">
      <w:pPr>
        <w:spacing w:line="276" w:lineRule="auto"/>
        <w:ind w:firstLine="709"/>
      </w:pPr>
      <w:r>
        <w:t>- наблюдается уменьшение числа лиц, впервые в жизни зарегистрированных с диагнозом «наркомания», с 2 случаев (5,0 на 100 тыс. населения) в 2023 году до 0 случаев в 2024 году;</w:t>
      </w:r>
    </w:p>
    <w:p w:rsidR="00DC1467" w:rsidRDefault="00B70D3E">
      <w:pPr>
        <w:spacing w:line="276" w:lineRule="auto"/>
        <w:ind w:firstLine="709"/>
      </w:pPr>
      <w:r>
        <w:t>- наблюдается уменьшение числа лиц, впервые в жизни зарегистрированных с диагнозо</w:t>
      </w:r>
      <w:r>
        <w:t>м «потребление наркотических средств с вредными последствиями», с 6 случаев (14,9 на 100 тыс. населения) в 2023 году до 0 случаев в 2024 году;</w:t>
      </w:r>
    </w:p>
    <w:p w:rsidR="00DC1467" w:rsidRDefault="00B70D3E">
      <w:pPr>
        <w:spacing w:line="276" w:lineRule="auto"/>
        <w:ind w:firstLine="709"/>
      </w:pPr>
      <w:r>
        <w:t xml:space="preserve">- уменьшение количества отравлений наркотическими средствами и психотропными веществами со смертельными исходами </w:t>
      </w:r>
      <w:r>
        <w:t>с 1 случая (2,5 на 100 тыс. населения) в 2023 году до 0 случаев в 2024 году.</w:t>
      </w:r>
    </w:p>
    <w:p w:rsidR="00DC1467" w:rsidRDefault="00B70D3E">
      <w:pPr>
        <w:spacing w:line="276" w:lineRule="auto"/>
        <w:ind w:firstLine="709"/>
      </w:pPr>
      <w:r>
        <w:t xml:space="preserve">9. </w:t>
      </w:r>
      <w:r>
        <w:rPr>
          <w:b/>
          <w:u w:val="single"/>
        </w:rPr>
        <w:t>Город Радужный</w:t>
      </w:r>
      <w:r>
        <w:t>, в данном муниципальном образовании прослеживаются следующие тенденции:</w:t>
      </w:r>
    </w:p>
    <w:p w:rsidR="00DC1467" w:rsidRDefault="00B70D3E">
      <w:pPr>
        <w:spacing w:line="276" w:lineRule="auto"/>
        <w:ind w:firstLine="709"/>
      </w:pPr>
      <w:r>
        <w:t>- уменьшение по числу лиц, зарегистрированных с диагнозом «наркомания», на 38,8 %, при пе</w:t>
      </w:r>
      <w:r>
        <w:t>рерасчете на 100 тыс. населения: 2023 год – 46,6 (21) и 2024 год – 28,5 (13);</w:t>
      </w:r>
    </w:p>
    <w:p w:rsidR="00DC1467" w:rsidRDefault="00B70D3E">
      <w:pPr>
        <w:spacing w:line="276" w:lineRule="auto"/>
        <w:ind w:firstLine="709"/>
      </w:pPr>
      <w:r>
        <w:t>- темп прироста (увеличение) по числу лиц, зарегистрированных с диагнозом «потребление наркотических средств с вредными последствиями», на 3,5%, при перерасчете на 100 тыс. насел</w:t>
      </w:r>
      <w:r>
        <w:t>ения: 2023 год – 48,8 (22) и 2024 год – 50,5 (23), из них среди несовершеннолетних увеличение с 0 случаев в 2023 году до 2 случаев (15,4 на 100 тыс. несовершеннолетних) в 2024 году;</w:t>
      </w:r>
    </w:p>
    <w:p w:rsidR="00DC1467" w:rsidRDefault="00B70D3E">
      <w:pPr>
        <w:spacing w:line="276" w:lineRule="auto"/>
        <w:ind w:firstLine="709"/>
      </w:pPr>
      <w:r>
        <w:t>- первичная заболеваемость наркоманией в 2023-2024 годах не зарегистрирова</w:t>
      </w:r>
      <w:r>
        <w:t>на;</w:t>
      </w:r>
    </w:p>
    <w:p w:rsidR="00DC1467" w:rsidRDefault="00B70D3E">
      <w:pPr>
        <w:spacing w:line="276" w:lineRule="auto"/>
        <w:ind w:firstLine="709"/>
      </w:pPr>
      <w:r>
        <w:t>- увеличение числа лиц, впервые зарегистрированных с диагнозом «потребление наркотических средств с вредными последствиями», с 3 случаев (6,7 на 100 тыс. населения) в 2023 году до 6 случаев (13,2 на 100 тыс. населения) в 2024 году;</w:t>
      </w:r>
    </w:p>
    <w:p w:rsidR="00DC1467" w:rsidRDefault="00B70D3E">
      <w:pPr>
        <w:spacing w:line="276" w:lineRule="auto"/>
        <w:ind w:firstLine="709"/>
      </w:pPr>
      <w:r>
        <w:t>- увеличение количес</w:t>
      </w:r>
      <w:r>
        <w:t>тва отравлений наркотическими средствами и психотропными веществами со смертельными исходами с 0 случаев в 2023 году до 1 случая (2,2 на 100 тыс. населения) в 2024 году.</w:t>
      </w:r>
    </w:p>
    <w:p w:rsidR="00DC1467" w:rsidRDefault="00B70D3E">
      <w:pPr>
        <w:spacing w:line="276" w:lineRule="auto"/>
        <w:ind w:firstLine="709"/>
      </w:pPr>
      <w:r>
        <w:t>10. </w:t>
      </w:r>
      <w:r>
        <w:rPr>
          <w:b/>
          <w:u w:val="single"/>
        </w:rPr>
        <w:t>Город Сургут</w:t>
      </w:r>
      <w:r>
        <w:t>, здесь прослеживаются следующие тенденции:</w:t>
      </w:r>
    </w:p>
    <w:p w:rsidR="00DC1467" w:rsidRDefault="00B70D3E">
      <w:pPr>
        <w:spacing w:line="276" w:lineRule="auto"/>
        <w:ind w:firstLine="709"/>
      </w:pPr>
      <w:r>
        <w:t>- увеличение по числу лиц,</w:t>
      </w:r>
      <w:r>
        <w:t xml:space="preserve"> зарегистрированных с диагнозом «наркомания», на 3,4 %, при перерасчете на 100 тыс. населения: 2023 год – 75,4 (311) и 2024 год – 78,0 (328),</w:t>
      </w:r>
    </w:p>
    <w:p w:rsidR="00DC1467" w:rsidRDefault="00B70D3E">
      <w:pPr>
        <w:spacing w:line="276" w:lineRule="auto"/>
        <w:ind w:firstLine="709"/>
      </w:pPr>
      <w:r>
        <w:t>- снижение по числу лиц, зарегистрированных с диагнозом «потребление наркотических средств с вредными последствиям</w:t>
      </w:r>
      <w:r>
        <w:t>и», на 6,7 %, при перерасчете на 100 тыс. населения: 2023 год – 40,5 (167) и 2024 год – 37,8 (159), из них среди несовершеннолетних уменьшение на 19,8 %, при перерасчете на 100 тыс. детско-подросткового населения: 2023 год – 10,6 (11) и 2024 год – 8,5 (9);</w:t>
      </w:r>
    </w:p>
    <w:p w:rsidR="00DC1467" w:rsidRDefault="00B70D3E">
      <w:pPr>
        <w:spacing w:line="276" w:lineRule="auto"/>
        <w:ind w:firstLine="709"/>
      </w:pPr>
      <w:r>
        <w:t>- наблюдается увеличение числа лиц с впервые в жизни установленным диагнозом «наркомания» в 3,9 раза, при перерасчете на 100 тыс. населения: 2023 год – 1,5 (6) и 2024 год – 5,9 (25);</w:t>
      </w:r>
    </w:p>
    <w:p w:rsidR="00DC1467" w:rsidRDefault="00B70D3E">
      <w:pPr>
        <w:spacing w:line="276" w:lineRule="auto"/>
        <w:ind w:firstLine="709"/>
      </w:pPr>
      <w:r>
        <w:t>- снижение числа лиц, впервые зарегистрированных с диагнозом «потреблени</w:t>
      </w:r>
      <w:r>
        <w:t>е наркотических средств с вредными последствиями», на 15,4 %, при перерасчете на 100 тыс. населения: 2023 год – 6,5 (27) и 2024 год – 5,5 (23), из них среди несовершеннолетних уменьшение на 20,8 %, при перерасчете на 100 тыс. детско-подросткового населения</w:t>
      </w:r>
      <w:r>
        <w:t>: 2023 год – 4,8 (5) и 2024 год – 3,8 (4);</w:t>
      </w:r>
    </w:p>
    <w:p w:rsidR="00DC1467" w:rsidRDefault="00B70D3E">
      <w:pPr>
        <w:spacing w:line="276" w:lineRule="auto"/>
        <w:ind w:firstLine="709"/>
      </w:pPr>
      <w:r>
        <w:t>- уменьшение количества отравлений наркотическими средствами и психотропными веществами со смертельными исходами в 1,9 раза, при перерасчете на 100 тыс. населения: 2023 год – 10,4 (43) и 2024 год – 5,5 (23).</w:t>
      </w:r>
    </w:p>
    <w:p w:rsidR="00DC1467" w:rsidRDefault="00B70D3E">
      <w:pPr>
        <w:spacing w:line="276" w:lineRule="auto"/>
        <w:ind w:firstLine="709"/>
      </w:pPr>
      <w:r>
        <w:t>11.</w:t>
      </w:r>
      <w:r>
        <w:rPr>
          <w:b/>
        </w:rPr>
        <w:t xml:space="preserve"> </w:t>
      </w:r>
      <w:r>
        <w:rPr>
          <w:b/>
          <w:u w:val="single"/>
        </w:rPr>
        <w:t>Г</w:t>
      </w:r>
      <w:r>
        <w:rPr>
          <w:b/>
          <w:u w:val="single"/>
        </w:rPr>
        <w:t>ород Урай</w:t>
      </w:r>
      <w:r>
        <w:t>, в данном муниципалитете прослеживаются следующие тенденции:</w:t>
      </w:r>
    </w:p>
    <w:p w:rsidR="00DC1467" w:rsidRDefault="00B70D3E">
      <w:pPr>
        <w:spacing w:line="276" w:lineRule="auto"/>
        <w:ind w:firstLine="709"/>
      </w:pPr>
      <w:r>
        <w:t>- уменьшение по числу лиц, зарегистрированных с диагнозом «наркомания», на 6,0 %, при перерасчете на 100 тыс. населения: 2023 год - 84,9 (35) и 2024 год – 79,8 (33);</w:t>
      </w:r>
    </w:p>
    <w:p w:rsidR="00DC1467" w:rsidRDefault="00B70D3E">
      <w:pPr>
        <w:spacing w:line="276" w:lineRule="auto"/>
        <w:ind w:firstLine="709"/>
      </w:pPr>
      <w:r>
        <w:t>- снижение по числу</w:t>
      </w:r>
      <w:r>
        <w:t xml:space="preserve"> лиц, зарегистрированных с диагнозом «потребление наркотических средств с вредными последствиями», на 25,2 %, при перерасчете на 100 тыс. населения: 2023 год – 48,5 (20) и 2024 год – 36,3 (15);</w:t>
      </w:r>
    </w:p>
    <w:p w:rsidR="00DC1467" w:rsidRDefault="00B70D3E">
      <w:pPr>
        <w:spacing w:line="276" w:lineRule="auto"/>
        <w:ind w:firstLine="709"/>
      </w:pPr>
      <w:r>
        <w:t>- наблюдается снижение числа лиц с впервые в жизни установленн</w:t>
      </w:r>
      <w:r>
        <w:t>ым диагнозом «наркомания» с 7 случаев (17,0 на 100 тыс. населения) в 2023 году до 3 случаев (7,3 на 100 тыс. населения) в 2024 году;</w:t>
      </w:r>
    </w:p>
    <w:p w:rsidR="00DC1467" w:rsidRDefault="00B70D3E">
      <w:pPr>
        <w:spacing w:line="276" w:lineRule="auto"/>
        <w:ind w:firstLine="709"/>
      </w:pPr>
      <w:r>
        <w:t>- наблюдается уменьшение числа лиц, впервые в жизни зарегистрированных с диагнозом «потребление наркотических средств с вре</w:t>
      </w:r>
      <w:r>
        <w:t>дными последствиями», с 8 случаев (19,4 на 100 тыс. населения) в 2023 году до 0 случаев в 2024 году;</w:t>
      </w:r>
    </w:p>
    <w:p w:rsidR="00DC1467" w:rsidRDefault="00B70D3E">
      <w:pPr>
        <w:spacing w:line="276" w:lineRule="auto"/>
        <w:ind w:firstLine="709"/>
      </w:pPr>
      <w:r>
        <w:t>- уменьшение количества отравлений наркотическими средствами и психотропными веществами со смертельными исходами с 1 случая (2,4 на 100 тыс. населения) в 2</w:t>
      </w:r>
      <w:r>
        <w:t>023 году до 0 случаев в 2024 году.</w:t>
      </w:r>
    </w:p>
    <w:p w:rsidR="00DC1467" w:rsidRDefault="00B70D3E">
      <w:pPr>
        <w:spacing w:line="276" w:lineRule="auto"/>
        <w:ind w:firstLine="709"/>
      </w:pPr>
      <w:r>
        <w:t>12.</w:t>
      </w:r>
      <w:r>
        <w:rPr>
          <w:b/>
        </w:rPr>
        <w:t> </w:t>
      </w:r>
      <w:r>
        <w:rPr>
          <w:b/>
          <w:u w:val="single"/>
        </w:rPr>
        <w:t>Город Ханты-Мансийск</w:t>
      </w:r>
      <w:r>
        <w:t>, в данном муниципальном образовании прослеживаются следующие тенденции:</w:t>
      </w:r>
    </w:p>
    <w:p w:rsidR="00DC1467" w:rsidRDefault="00B70D3E">
      <w:pPr>
        <w:spacing w:line="276" w:lineRule="auto"/>
        <w:ind w:firstLine="709"/>
      </w:pPr>
      <w:r>
        <w:t>- увеличение по числу лиц, зарегистрированных с диагнозом «наркомания», на 17,2 %, при перерасчете на 100 тыс. населения: 20</w:t>
      </w:r>
      <w:r>
        <w:t>23 год – 148,1 (164) и 2024 год – 173,6 (194),</w:t>
      </w:r>
    </w:p>
    <w:p w:rsidR="00DC1467" w:rsidRDefault="00B70D3E">
      <w:pPr>
        <w:spacing w:line="276" w:lineRule="auto"/>
        <w:ind w:firstLine="709"/>
      </w:pPr>
      <w:r>
        <w:t xml:space="preserve">- темп прироста (увеличение) по числу лиц, зарегистрированных с диагнозом «потребление наркотических средств с вредными последствиями», на 19,8 %, при перерасчете на 100 тыс. населения: 2023 год – 17,2 (19) и </w:t>
      </w:r>
      <w:r>
        <w:t>2024 год – 20,6 (23), из них среди несовершеннолетних увеличение с 0 случаев в 2023 году до 1 случая (3,8 на 100 тыс. несовершеннолетних) в 2024 году;</w:t>
      </w:r>
    </w:p>
    <w:p w:rsidR="00DC1467" w:rsidRDefault="00B70D3E">
      <w:pPr>
        <w:spacing w:line="276" w:lineRule="auto"/>
        <w:ind w:firstLine="709"/>
      </w:pPr>
      <w:r>
        <w:t>- наблюдается увеличение числа лиц с впервые в жизни установленным диагнозом «наркомания» в 3,5 раза, при</w:t>
      </w:r>
      <w:r>
        <w:t xml:space="preserve"> перерасчете на 100 тыс. населения: 2023 год – 3,6 (4) и 2024 год –12,5 (14);</w:t>
      </w:r>
    </w:p>
    <w:p w:rsidR="00DC1467" w:rsidRDefault="00B70D3E">
      <w:pPr>
        <w:spacing w:line="276" w:lineRule="auto"/>
        <w:ind w:firstLine="709"/>
      </w:pPr>
      <w:r>
        <w:t>- увеличение числа лиц, впервые зарегистрированных с диагнозом «потребление наркотических средств с вредными последствиями», с 2 случаев (1,8 на 100 тыс. населения) в 2023 году д</w:t>
      </w:r>
      <w:r>
        <w:t>о 7 случаев (6,3 на 100 тыс. населения) в 2024 году, из них несовершеннолетних увеличение с 0 случаев в 2023 году до 1 случая (3,8 на 100 тыс. несовершеннолетних) в 2024 году;</w:t>
      </w:r>
    </w:p>
    <w:p w:rsidR="00DC1467" w:rsidRDefault="00B70D3E">
      <w:pPr>
        <w:spacing w:line="276" w:lineRule="auto"/>
        <w:ind w:firstLine="709"/>
      </w:pPr>
      <w:r>
        <w:t>- уменьшение количества отравлений наркотическими средствами и психотропными вещ</w:t>
      </w:r>
      <w:r>
        <w:t>ествами со смертельными исходами на 33,3 %, при перерасчете на 100 тыс. населения: 2023 год – 2,7 (3) и 2024 год – 1,8 (2).</w:t>
      </w:r>
    </w:p>
    <w:p w:rsidR="00DC1467" w:rsidRDefault="00B70D3E">
      <w:pPr>
        <w:spacing w:line="276" w:lineRule="auto"/>
        <w:ind w:firstLine="709"/>
      </w:pPr>
      <w:r>
        <w:t>13. </w:t>
      </w:r>
      <w:r>
        <w:rPr>
          <w:b/>
          <w:u w:val="single"/>
        </w:rPr>
        <w:t>Город Югорск</w:t>
      </w:r>
      <w:r>
        <w:t>, в этом городе прослеживаются следующие тенденции:</w:t>
      </w:r>
    </w:p>
    <w:p w:rsidR="00DC1467" w:rsidRDefault="00B70D3E">
      <w:pPr>
        <w:spacing w:line="276" w:lineRule="auto"/>
        <w:ind w:firstLine="709"/>
      </w:pPr>
      <w:r>
        <w:t>- уменьшение по числу лиц, зарегистрированных с диагнозом «наркомания», на 11,4 %, при перерасчете на 100 тыс. населения: 2023 год – 238,9 (93) и 2024 год – 211,6 (83);</w:t>
      </w:r>
    </w:p>
    <w:p w:rsidR="00DC1467" w:rsidRDefault="00B70D3E">
      <w:pPr>
        <w:spacing w:line="276" w:lineRule="auto"/>
        <w:ind w:firstLine="709"/>
      </w:pPr>
      <w:r>
        <w:t>- стабилизация показателя на уровне 2023 года по числу лиц, зарегистрированных с диагно</w:t>
      </w:r>
      <w:r>
        <w:t>зом «потребление наркотических средств с вредными последствиями», при перерасчете на 100 тыс. населения: 2023 год – 38,5 (15) и 2024 год – 38,2 (15), за счет изменения общей численности населения в муниципальном образовании отмечается снижение показателя н</w:t>
      </w:r>
      <w:r>
        <w:t>а 0,8%;</w:t>
      </w:r>
    </w:p>
    <w:p w:rsidR="00DC1467" w:rsidRDefault="00B70D3E">
      <w:pPr>
        <w:spacing w:line="276" w:lineRule="auto"/>
        <w:ind w:firstLine="709"/>
      </w:pPr>
      <w:r>
        <w:t>- наблюдается уменьшение числа лиц, впервые в жизни зарегистрированных с диагнозом «наркомания», с 3 случаев (7,7 на 100 тыс. населения) в 2023 году до 0 случаев в 2024 году;</w:t>
      </w:r>
    </w:p>
    <w:p w:rsidR="00DC1467" w:rsidRDefault="00B70D3E">
      <w:pPr>
        <w:spacing w:line="276" w:lineRule="auto"/>
        <w:ind w:firstLine="709"/>
      </w:pPr>
      <w:r>
        <w:t>- увеличение числа лиц, впервые зарегистрированных с диагнозом «потреблен</w:t>
      </w:r>
      <w:r>
        <w:t>ие наркотических средств с вредными последствиями», с 1 случая (2,6 на 100 тыс. населения) в 2023 году до 2 случаев (5,1 на 100 тыс. населения) в 2024 году;</w:t>
      </w:r>
    </w:p>
    <w:p w:rsidR="00DC1467" w:rsidRDefault="00B70D3E">
      <w:pPr>
        <w:spacing w:line="276" w:lineRule="auto"/>
        <w:ind w:firstLine="709"/>
      </w:pPr>
      <w:r>
        <w:t>- смертельных отравлений наркотическими средствами и психотропными веществами в 2023-2024 годах не зарегистрировано.</w:t>
      </w:r>
    </w:p>
    <w:p w:rsidR="00DC1467" w:rsidRDefault="00B70D3E">
      <w:pPr>
        <w:spacing w:line="276" w:lineRule="auto"/>
        <w:ind w:firstLine="709"/>
      </w:pPr>
      <w:r>
        <w:t>14. </w:t>
      </w:r>
      <w:r>
        <w:rPr>
          <w:b/>
          <w:u w:val="single"/>
        </w:rPr>
        <w:t>Белоярский район</w:t>
      </w:r>
      <w:r>
        <w:t>, в данном муниципальном образовании прослеживаются следующие тенденции:</w:t>
      </w:r>
    </w:p>
    <w:p w:rsidR="00DC1467" w:rsidRDefault="00B70D3E">
      <w:pPr>
        <w:spacing w:line="276" w:lineRule="auto"/>
        <w:ind w:firstLine="709"/>
      </w:pPr>
      <w:r>
        <w:t xml:space="preserve">- стабилизация показателя на уровне 2023 года </w:t>
      </w:r>
      <w:r>
        <w:t>по числу лиц, зарегистрированных с диагнозом «наркомания», при перерасчете на 100 тыс. населения: 2023-2024 годы – 7,0 (абс. 2);</w:t>
      </w:r>
    </w:p>
    <w:p w:rsidR="00DC1467" w:rsidRDefault="00B70D3E">
      <w:pPr>
        <w:spacing w:line="276" w:lineRule="auto"/>
        <w:ind w:firstLine="709"/>
      </w:pPr>
      <w:r>
        <w:t>- снижение по числу лиц, зарегистрированных с диагнозом «потребление наркотических средств с вредными последствиями», с 4 случа</w:t>
      </w:r>
      <w:r>
        <w:t>ев (14,0 на 100 тыс. населения) в 2023 году до 2 случаев (7,0 на 100 тыс. населения) в 2024 году;</w:t>
      </w:r>
    </w:p>
    <w:p w:rsidR="00DC1467" w:rsidRDefault="00B70D3E">
      <w:pPr>
        <w:spacing w:line="276" w:lineRule="auto"/>
        <w:ind w:firstLine="709"/>
      </w:pPr>
      <w:r>
        <w:t>- первичная заболеваемость наркоманией в 2023-2024 годах не зарегистрирована;</w:t>
      </w:r>
    </w:p>
    <w:p w:rsidR="00DC1467" w:rsidRDefault="00B70D3E">
      <w:pPr>
        <w:spacing w:line="276" w:lineRule="auto"/>
        <w:ind w:firstLine="709"/>
      </w:pPr>
      <w:r>
        <w:t>- первичная заболеваемость пагубного с вредными последствиями потребления наркот</w:t>
      </w:r>
      <w:r>
        <w:t>ических средств в 2023-2024 годах не зарегистрирована;</w:t>
      </w:r>
    </w:p>
    <w:p w:rsidR="00DC1467" w:rsidRDefault="00B70D3E">
      <w:pPr>
        <w:spacing w:line="276" w:lineRule="auto"/>
        <w:ind w:firstLine="709"/>
      </w:pPr>
      <w:r>
        <w:t>- смертельных отравлений наркотическими средствами и психотропными веществами в 2023-2024 годах не зарегистрировано.</w:t>
      </w:r>
    </w:p>
    <w:p w:rsidR="00DC1467" w:rsidRDefault="00B70D3E">
      <w:pPr>
        <w:spacing w:line="276" w:lineRule="auto"/>
        <w:ind w:firstLine="709"/>
      </w:pPr>
      <w:r>
        <w:t>15.</w:t>
      </w:r>
      <w:r>
        <w:rPr>
          <w:b/>
        </w:rPr>
        <w:t> </w:t>
      </w:r>
      <w:r>
        <w:rPr>
          <w:b/>
          <w:u w:val="single"/>
        </w:rPr>
        <w:t>Берёзовский район</w:t>
      </w:r>
      <w:r>
        <w:t>, в данном муниципальном образовании прослеживаются следующие т</w:t>
      </w:r>
      <w:r>
        <w:t>енденции:</w:t>
      </w:r>
    </w:p>
    <w:p w:rsidR="00DC1467" w:rsidRDefault="00B70D3E">
      <w:pPr>
        <w:spacing w:line="276" w:lineRule="auto"/>
        <w:ind w:firstLine="709"/>
      </w:pPr>
      <w:r>
        <w:t>- уменьшение по числу лиц, зарегистрированных с диагнозом «наркомания», на 33,3 %, при перерасчете на 100 тыс. населения: 2023 год – 12,9 (3) и 2024 год – 8,6 (2);</w:t>
      </w:r>
    </w:p>
    <w:p w:rsidR="00DC1467" w:rsidRDefault="00B70D3E">
      <w:pPr>
        <w:spacing w:line="276" w:lineRule="auto"/>
        <w:ind w:firstLine="709"/>
      </w:pPr>
      <w:r>
        <w:t>- наблюдается уменьшение числа лиц, зарегистрированных с диагнозом «потребление на</w:t>
      </w:r>
      <w:r>
        <w:t>ркотических средств с вредными последствиями», с 1 случая (4,3 на 100 тыс. населения) в 2023 году до 0 случаев в 2024 году;</w:t>
      </w:r>
    </w:p>
    <w:p w:rsidR="00DC1467" w:rsidRDefault="00B70D3E">
      <w:pPr>
        <w:spacing w:line="276" w:lineRule="auto"/>
        <w:ind w:firstLine="709"/>
      </w:pPr>
      <w:r>
        <w:t>- наблюдается уменьшение числа лиц, впервые в жизни зарегистрированных с диагнозом «наркомания», с 2 случаев (8,6 на 100 тыс. населе</w:t>
      </w:r>
      <w:r>
        <w:t>ния) в 2023 году до 0 случаев в 2024 году;</w:t>
      </w:r>
    </w:p>
    <w:p w:rsidR="00DC1467" w:rsidRDefault="00B70D3E">
      <w:pPr>
        <w:spacing w:line="276" w:lineRule="auto"/>
        <w:ind w:firstLine="709"/>
      </w:pPr>
      <w:r>
        <w:t>- первичная заболеваемость пагубного с вредными последствиями потребления наркотических средств в 2023-2024 годах не зарегистрирована;</w:t>
      </w:r>
    </w:p>
    <w:p w:rsidR="00DC1467" w:rsidRDefault="00B70D3E">
      <w:pPr>
        <w:spacing w:line="276" w:lineRule="auto"/>
        <w:ind w:firstLine="709"/>
      </w:pPr>
      <w:r>
        <w:t xml:space="preserve">- смертельных отравлений наркотическими средствами и психотропными веществами </w:t>
      </w:r>
      <w:r>
        <w:t>в 2023-2024 годах не зарегистрировано.</w:t>
      </w:r>
    </w:p>
    <w:p w:rsidR="00DC1467" w:rsidRDefault="00B70D3E">
      <w:pPr>
        <w:spacing w:line="276" w:lineRule="auto"/>
        <w:ind w:firstLine="709"/>
      </w:pPr>
      <w:r>
        <w:t>16.</w:t>
      </w:r>
      <w:r>
        <w:rPr>
          <w:b/>
        </w:rPr>
        <w:t> </w:t>
      </w:r>
      <w:r>
        <w:rPr>
          <w:b/>
          <w:u w:val="single"/>
        </w:rPr>
        <w:t>Кондинский район,</w:t>
      </w:r>
      <w:r>
        <w:t xml:space="preserve"> в данном муниципальном образовании прослеживаются следующие тенденции:</w:t>
      </w:r>
    </w:p>
    <w:p w:rsidR="00DC1467" w:rsidRDefault="00B70D3E">
      <w:pPr>
        <w:spacing w:line="276" w:lineRule="auto"/>
        <w:ind w:firstLine="709"/>
      </w:pPr>
      <w:r>
        <w:t xml:space="preserve">- стабилизация показателя на уровне 2023 года по числу лиц, зарегистрированных с диагнозом «наркомания», при перерасчете на </w:t>
      </w:r>
      <w:r>
        <w:t>100 тыс. населения: 2023-2024 годы – 9,9 (абс. 3);</w:t>
      </w:r>
    </w:p>
    <w:p w:rsidR="00DC1467" w:rsidRDefault="00B70D3E">
      <w:pPr>
        <w:spacing w:line="276" w:lineRule="auto"/>
        <w:ind w:firstLine="709"/>
      </w:pPr>
      <w:r>
        <w:t>- темп прироста (увеличение) по числу лиц, зарегистрированных с диагнозом «потребление наркотических средств с вредными последствиями», в 1,8 раза, при перерасчете на 100 тыс. населения: 2023 год – 16,4 (5</w:t>
      </w:r>
      <w:r>
        <w:t>) и 2024 год – 29,6 (9);</w:t>
      </w:r>
    </w:p>
    <w:p w:rsidR="00DC1467" w:rsidRDefault="00B70D3E">
      <w:pPr>
        <w:spacing w:line="276" w:lineRule="auto"/>
        <w:ind w:firstLine="709"/>
      </w:pPr>
      <w:r>
        <w:t>- первичная заболеваемость наркоманией в 2023-2024 годах не зарегистрирована;</w:t>
      </w:r>
    </w:p>
    <w:p w:rsidR="00DC1467" w:rsidRDefault="00B70D3E">
      <w:pPr>
        <w:spacing w:line="276" w:lineRule="auto"/>
        <w:ind w:firstLine="709"/>
      </w:pPr>
      <w:r>
        <w:t>- увеличение числа лиц, впервые зарегистрированных с диагнозом «потребление наркотических средств с вредными последствиями», с 2 случаев (6,6 на 100 тыс.</w:t>
      </w:r>
      <w:r>
        <w:t xml:space="preserve"> населения) в 2023 году до 6 случаев (19,7 на 100 тыс. населения) в 2024 году;</w:t>
      </w:r>
    </w:p>
    <w:p w:rsidR="00DC1467" w:rsidRDefault="00B70D3E">
      <w:pPr>
        <w:spacing w:line="276" w:lineRule="auto"/>
        <w:ind w:firstLine="709"/>
      </w:pPr>
      <w:r>
        <w:t xml:space="preserve">- увеличение количества отравлений наркотическими средствами и психотропными веществами со смертельными исходами с 1 случая (3,3 на 100 тыс. населения) в 2023 году до 3 случаев </w:t>
      </w:r>
      <w:r>
        <w:t>(9,9 на 100 тыс. населения) в 2024 году.</w:t>
      </w:r>
    </w:p>
    <w:p w:rsidR="00DC1467" w:rsidRDefault="00B70D3E">
      <w:pPr>
        <w:spacing w:line="276" w:lineRule="auto"/>
        <w:ind w:firstLine="709"/>
      </w:pPr>
      <w:r>
        <w:t>17. </w:t>
      </w:r>
      <w:r>
        <w:rPr>
          <w:b/>
          <w:u w:val="single"/>
        </w:rPr>
        <w:t>Нефтеюганский район</w:t>
      </w:r>
      <w:r>
        <w:t>, в данном муниципальном образовании прослеживаются следующие тенденции:</w:t>
      </w:r>
    </w:p>
    <w:p w:rsidR="00DC1467" w:rsidRDefault="00B70D3E">
      <w:pPr>
        <w:spacing w:line="276" w:lineRule="auto"/>
        <w:ind w:firstLine="709"/>
      </w:pPr>
      <w:r>
        <w:t>- уменьшение по числу лиц, зарегистрированных с диагнозом «наркомания», на 18,1 %, при перерасчете на 100 тыс. населени</w:t>
      </w:r>
      <w:r>
        <w:t>я: 2023 год – 36,0 (17) и 2024 год – 29,5 (14);</w:t>
      </w:r>
    </w:p>
    <w:p w:rsidR="00DC1467" w:rsidRDefault="00B70D3E">
      <w:pPr>
        <w:spacing w:line="276" w:lineRule="auto"/>
        <w:ind w:firstLine="709"/>
      </w:pPr>
      <w:r>
        <w:t xml:space="preserve">- стабилизация показателя на уровне 2023 года по числу лиц, зарегистрированных с диагнозом «потребление наркотических средств с вредными последствиями», при перерасчете на 100 тыс. населения: 2023 год – 16,9 </w:t>
      </w:r>
      <w:r>
        <w:t>(8) и 2024 год – 16,8 (8), за счет изменения общей численности населения в муниципальном образовании отмечается снижение показателя на 0,6 %;</w:t>
      </w:r>
    </w:p>
    <w:p w:rsidR="00DC1467" w:rsidRDefault="00B70D3E">
      <w:pPr>
        <w:spacing w:line="276" w:lineRule="auto"/>
        <w:ind w:firstLine="709"/>
      </w:pPr>
      <w:r>
        <w:t>- первичная заболеваемость наркоманией в 2023-2024 годах не зарегистрирована;</w:t>
      </w:r>
    </w:p>
    <w:p w:rsidR="00DC1467" w:rsidRDefault="00B70D3E">
      <w:pPr>
        <w:spacing w:line="276" w:lineRule="auto"/>
        <w:ind w:firstLine="709"/>
      </w:pPr>
      <w:r>
        <w:t>- первичная заболеваемость пагубного с вредными последствиями потребления наркотических средств в 2023-2024 годах не зарегистрирована;</w:t>
      </w:r>
    </w:p>
    <w:p w:rsidR="00DC1467" w:rsidRDefault="00B70D3E">
      <w:pPr>
        <w:spacing w:line="276" w:lineRule="auto"/>
        <w:ind w:firstLine="709"/>
      </w:pPr>
      <w:r>
        <w:t>- уменьшение количества отравлений наркотическими средствами и психотропными веществами со смертельными исходами с 2 случ</w:t>
      </w:r>
      <w:r>
        <w:t>аев (4,2 на 100 тыс. населения) в 2023 году до 0 случаев в 2024 году.</w:t>
      </w:r>
    </w:p>
    <w:p w:rsidR="00DC1467" w:rsidRDefault="00B70D3E">
      <w:pPr>
        <w:spacing w:line="276" w:lineRule="auto"/>
        <w:ind w:firstLine="709"/>
      </w:pPr>
      <w:r>
        <w:t>18.</w:t>
      </w:r>
      <w:r>
        <w:rPr>
          <w:b/>
        </w:rPr>
        <w:t> </w:t>
      </w:r>
      <w:r>
        <w:rPr>
          <w:b/>
          <w:u w:val="single"/>
        </w:rPr>
        <w:t>Нижневартовский район,</w:t>
      </w:r>
      <w:r>
        <w:t xml:space="preserve"> в данном муниципальном образовании прослеживаются следующие тенденции:</w:t>
      </w:r>
    </w:p>
    <w:p w:rsidR="00DC1467" w:rsidRDefault="00B70D3E">
      <w:pPr>
        <w:spacing w:line="276" w:lineRule="auto"/>
        <w:ind w:firstLine="709"/>
      </w:pPr>
      <w:r>
        <w:t>- уменьшение по числу лиц, зарегистрированных с диагнозом «наркомания», на 17,6 %, при п</w:t>
      </w:r>
      <w:r>
        <w:t>ерерасчете на 100 тыс. населения: 2023 год – 59,6 (23) и 2024 год – 49,1 (19);</w:t>
      </w:r>
    </w:p>
    <w:p w:rsidR="00DC1467" w:rsidRDefault="00B70D3E">
      <w:pPr>
        <w:spacing w:line="276" w:lineRule="auto"/>
        <w:ind w:firstLine="709"/>
      </w:pPr>
      <w:r>
        <w:t>- снижение по числу лиц, зарегистрированных с диагнозом «потребление наркотических средств с вредными последствиями» с 3 случаев (7,8 на 100 тыс. населения) в 2023 году до 1 слу</w:t>
      </w:r>
      <w:r>
        <w:t>чая (2,6 на 100 тыс. населения) в 2024 году;</w:t>
      </w:r>
    </w:p>
    <w:p w:rsidR="00DC1467" w:rsidRDefault="00B70D3E">
      <w:pPr>
        <w:spacing w:line="276" w:lineRule="auto"/>
        <w:ind w:firstLine="709"/>
      </w:pPr>
      <w:r>
        <w:t>- наблюдается снижение числа лиц с впервые в жизни установленным диагнозом «наркомания» с 3 случаев (7,8 на 100 тыс. населения) в 2023 году до 2 случаев (5,2 на 100 тыс. населения) в 2024 году;</w:t>
      </w:r>
    </w:p>
    <w:p w:rsidR="00DC1467" w:rsidRDefault="00B70D3E">
      <w:pPr>
        <w:spacing w:line="276" w:lineRule="auto"/>
        <w:ind w:firstLine="709"/>
      </w:pPr>
      <w:r>
        <w:t>- наблюдается уме</w:t>
      </w:r>
      <w:r>
        <w:t>ньшение числа лиц, впервые в жизни зарегистрированных с диагнозом «потребление наркотических средств с вредными последствиями», с 1 случая (2,6 на 100 тыс. населения) в 2023 году до 0 случаев в 2024 году;</w:t>
      </w:r>
    </w:p>
    <w:p w:rsidR="00DC1467" w:rsidRDefault="00B70D3E">
      <w:pPr>
        <w:spacing w:line="276" w:lineRule="auto"/>
        <w:ind w:firstLine="709"/>
      </w:pPr>
      <w:r>
        <w:t>- стабилизация динамики по числу отравлений наркоти</w:t>
      </w:r>
      <w:r>
        <w:t>ческими средствами и психотропными веществами со смертельными исходами, при перерасчете на 100 тыс. населения: 2023-2024 годы – 2,6 (абс. 1).</w:t>
      </w:r>
    </w:p>
    <w:p w:rsidR="00DC1467" w:rsidRDefault="00B70D3E">
      <w:pPr>
        <w:spacing w:line="276" w:lineRule="auto"/>
        <w:ind w:firstLine="709"/>
      </w:pPr>
      <w:r>
        <w:t>19.</w:t>
      </w:r>
      <w:r>
        <w:rPr>
          <w:b/>
        </w:rPr>
        <w:t> </w:t>
      </w:r>
      <w:r>
        <w:rPr>
          <w:b/>
          <w:u w:val="single"/>
        </w:rPr>
        <w:t>Октябрьский район</w:t>
      </w:r>
      <w:r>
        <w:t>, в данном муниципальном образовании прослеживаются следующие тенденции:</w:t>
      </w:r>
    </w:p>
    <w:p w:rsidR="00DC1467" w:rsidRDefault="00B70D3E">
      <w:pPr>
        <w:spacing w:line="276" w:lineRule="auto"/>
        <w:ind w:firstLine="709"/>
      </w:pPr>
      <w:r>
        <w:t>- стабилизация показ</w:t>
      </w:r>
      <w:r>
        <w:t>ателя на уровне 2023 года по числу лиц, зарегистрированных с диагнозом «наркомания», при перерасчете на 100 тыс. населения: 2023 год – 7,3 (2) и 2024 год – 7,2 (1), за счет изменения общей численности населения в муниципальном образовании отмечается снижен</w:t>
      </w:r>
      <w:r>
        <w:t>ие болезненности наркоманией на 1,4 %;</w:t>
      </w:r>
    </w:p>
    <w:p w:rsidR="00DC1467" w:rsidRDefault="00B70D3E">
      <w:pPr>
        <w:spacing w:line="276" w:lineRule="auto"/>
        <w:ind w:firstLine="709"/>
      </w:pPr>
      <w:r>
        <w:t>- наблюдается увеличение числа лиц, зарегистрированных с диагнозом «потребление наркотических средств с вредными последствиями» с 2 случаев (7,3 на 100 тыс. населения) в 2023 году до 3 случаев (10,9 на 100 тыс. населе</w:t>
      </w:r>
      <w:r>
        <w:t>ния) в 2024 году, из них несовершеннолетних увеличение с 0 случаев в 2023 году до 1 случая (20,8 на 100 тыс. несовершеннолетних) в 2024 году;</w:t>
      </w:r>
    </w:p>
    <w:p w:rsidR="00DC1467" w:rsidRDefault="00B70D3E">
      <w:pPr>
        <w:spacing w:line="276" w:lineRule="auto"/>
        <w:ind w:firstLine="709"/>
      </w:pPr>
      <w:r>
        <w:t>- первичная заболеваемость наркоманией в 2023-2024 годах не зарегистрирована;</w:t>
      </w:r>
    </w:p>
    <w:p w:rsidR="00DC1467" w:rsidRDefault="00B70D3E">
      <w:pPr>
        <w:spacing w:line="276" w:lineRule="auto"/>
        <w:ind w:firstLine="709"/>
      </w:pPr>
      <w:r>
        <w:t xml:space="preserve">- наблюдается уменьшение числа лиц, </w:t>
      </w:r>
      <w:r>
        <w:t>впервые в жизни зарегистрированных с диагнозом «потребление наркотических средств с вредными последствиями», с 1 случая (3,6 на 100 тыс. населения) в 2023 году до 0 случаев в 2024 году;</w:t>
      </w:r>
    </w:p>
    <w:p w:rsidR="00DC1467" w:rsidRDefault="00B70D3E">
      <w:pPr>
        <w:spacing w:line="276" w:lineRule="auto"/>
        <w:ind w:firstLine="709"/>
      </w:pPr>
      <w:r>
        <w:t>- уменьшение количества отравлений наркотическими средствами и психотр</w:t>
      </w:r>
      <w:r>
        <w:t>опными веществами со смертельными исходами, с 1 случая (3,6 на 100 тыс. населения) в 2023 году до 0 случаев в 2024 году.</w:t>
      </w:r>
    </w:p>
    <w:p w:rsidR="00DC1467" w:rsidRDefault="00B70D3E">
      <w:pPr>
        <w:spacing w:line="276" w:lineRule="auto"/>
        <w:ind w:firstLine="709"/>
      </w:pPr>
      <w:r>
        <w:t>20. </w:t>
      </w:r>
      <w:r>
        <w:rPr>
          <w:b/>
          <w:u w:val="single"/>
        </w:rPr>
        <w:t>Советский район</w:t>
      </w:r>
      <w:r>
        <w:t>, в данном муниципальном образовании прослеживаются следующие тенденции:</w:t>
      </w:r>
    </w:p>
    <w:p w:rsidR="00DC1467" w:rsidRDefault="00B70D3E">
      <w:pPr>
        <w:spacing w:line="276" w:lineRule="auto"/>
        <w:ind w:firstLine="709"/>
      </w:pPr>
      <w:r>
        <w:t>- уменьшение по числу лиц, зарегистрированн</w:t>
      </w:r>
      <w:r>
        <w:t>ых с диагнозом «наркомания» на 2,9 %, при перерасчете на 100 тыс. населения: 2023 год – 219,2 (102) и 2024 год – 212,9 (99);</w:t>
      </w:r>
    </w:p>
    <w:p w:rsidR="00DC1467" w:rsidRDefault="00B70D3E">
      <w:pPr>
        <w:spacing w:line="276" w:lineRule="auto"/>
        <w:ind w:firstLine="709"/>
      </w:pPr>
      <w:r>
        <w:t>- снижение по числу лиц, зарегистрированных с диагнозом «потребление наркотических средств с вредными последствиями», на 5,8 %, при</w:t>
      </w:r>
      <w:r>
        <w:t xml:space="preserve"> перерасчете на 100 тыс. населения: 2023 год – 36,5 (17) и 2024 год – 34,4 (16);</w:t>
      </w:r>
    </w:p>
    <w:p w:rsidR="00DC1467" w:rsidRDefault="00B70D3E">
      <w:pPr>
        <w:spacing w:line="276" w:lineRule="auto"/>
        <w:ind w:firstLine="709"/>
      </w:pPr>
      <w:r>
        <w:t>- наблюдается снижение числа лиц с впервые в жизни установленным диагнозом «наркомания» с 4 случаев (8,6 на 100 тыс. населения) в 2023 году до 3 случаев (6,5 на 100 тыс. населения) в 2024 году;</w:t>
      </w:r>
    </w:p>
    <w:p w:rsidR="00DC1467" w:rsidRDefault="00B70D3E">
      <w:pPr>
        <w:spacing w:line="276" w:lineRule="auto"/>
        <w:ind w:firstLine="709"/>
      </w:pPr>
      <w:r>
        <w:t>- наблюдается уменьшение числа лиц, впервые в жизни зарегистри</w:t>
      </w:r>
      <w:r>
        <w:t>рованных с диагнозом «потребление наркотических средств с вредными последствиями», с 1 случая (2,1 на 100 тыс. населения) в 2023 году до 0 случаев в 2024 году;</w:t>
      </w:r>
    </w:p>
    <w:p w:rsidR="00DC1467" w:rsidRDefault="00B70D3E">
      <w:pPr>
        <w:spacing w:line="276" w:lineRule="auto"/>
        <w:ind w:firstLine="709"/>
      </w:pPr>
      <w:r>
        <w:t>- уменьшение количества отравлений наркотическими средствами и психотропными веществами со смерт</w:t>
      </w:r>
      <w:r>
        <w:t>ельными исходами с 2 случаев (4,3 на 100 тыс. населения) в 2023 году до 0 случаев в 2024 году.</w:t>
      </w:r>
    </w:p>
    <w:p w:rsidR="00DC1467" w:rsidRDefault="00B70D3E">
      <w:pPr>
        <w:spacing w:line="276" w:lineRule="auto"/>
        <w:ind w:firstLine="709"/>
      </w:pPr>
      <w:r>
        <w:t>21. </w:t>
      </w:r>
      <w:r>
        <w:rPr>
          <w:b/>
          <w:u w:val="single"/>
        </w:rPr>
        <w:t>Сургутский район</w:t>
      </w:r>
      <w:r>
        <w:t>, в данном муниципальном образовании прослеживаются следующие тенденции:</w:t>
      </w:r>
    </w:p>
    <w:p w:rsidR="00DC1467" w:rsidRDefault="00B70D3E">
      <w:pPr>
        <w:spacing w:line="276" w:lineRule="auto"/>
        <w:ind w:firstLine="709"/>
      </w:pPr>
      <w:r>
        <w:t>- увеличение по числу лиц, зарегистрированных с диагнозом «наркомани</w:t>
      </w:r>
      <w:r>
        <w:t>я», на 8,5 %, при перерасчете на 100 тыс. населения: 2023 год - 82,3 (105) и 2024 год - 89,3 (115),</w:t>
      </w:r>
    </w:p>
    <w:p w:rsidR="00DC1467" w:rsidRDefault="00B70D3E">
      <w:pPr>
        <w:spacing w:line="276" w:lineRule="auto"/>
        <w:ind w:firstLine="709"/>
      </w:pPr>
      <w:r>
        <w:t>- темп прироста (увеличение) по числу лиц, зарегистрированных с диагнозом «потребление наркотических средств с вредными последствиями», на 8,0 %, при перера</w:t>
      </w:r>
      <w:r>
        <w:t>счете на 100 тыс. населения: 2023 год – 43,9 (56) и 2024 год – 47,4 (61), из них несовершеннолетних уменьшение с 6 случаев (16,6 на 100 тыс. несовершеннолетних) в 2023 году до 4 случаев (10,9 на 100 тыс. несовершеннолетних) в 2024 году;</w:t>
      </w:r>
    </w:p>
    <w:p w:rsidR="00DC1467" w:rsidRDefault="00B70D3E">
      <w:pPr>
        <w:spacing w:line="276" w:lineRule="auto"/>
        <w:ind w:firstLine="709"/>
      </w:pPr>
      <w:r>
        <w:t>- наблюдается сниже</w:t>
      </w:r>
      <w:r>
        <w:t>ние числа лиц с впервые в жизни установленным диагнозом «наркомания» на 22,7 %, при перерасчете на 100 тыс. населения: 2023 год – 11,0 (14) и 2024 год – 8,5 (11);</w:t>
      </w:r>
    </w:p>
    <w:p w:rsidR="00DC1467" w:rsidRDefault="00B70D3E">
      <w:pPr>
        <w:spacing w:line="276" w:lineRule="auto"/>
        <w:ind w:firstLine="709"/>
      </w:pPr>
      <w:r>
        <w:t>- снижение числа лиц, впервые зарегистрированных с диагнозом «потребление наркотических средс</w:t>
      </w:r>
      <w:r>
        <w:t>тв с вредными последствиями» на 24,1 %, при перерасчете на 100 тыс. населения: 2023 год – 13,3 (17) и 2024 год – 10,1 (13), из них среди несовершеннолетних уменьшение с 2 случаев (5,5 на 100 тыс. несовершеннолетних) в 2023 году до 1 случая (2,7 на 100 тыс.</w:t>
      </w:r>
      <w:r>
        <w:t xml:space="preserve"> несовершеннолетних) в 2024 году;</w:t>
      </w:r>
    </w:p>
    <w:p w:rsidR="00DC1467" w:rsidRDefault="00B70D3E">
      <w:pPr>
        <w:spacing w:line="276" w:lineRule="auto"/>
        <w:ind w:firstLine="709"/>
      </w:pPr>
      <w:r>
        <w:t>- уменьшение количества отравлений наркотическими средствами и психотропными веществами со смертельными исходами с 7 случаев (5,5 на 100 тыс. населения) в 2023 году до 4 случаев (3,1 на 100 тыс. населения) в 2024 году.</w:t>
      </w:r>
    </w:p>
    <w:p w:rsidR="00DC1467" w:rsidRDefault="00B70D3E">
      <w:pPr>
        <w:spacing w:line="276" w:lineRule="auto"/>
        <w:ind w:firstLine="709"/>
      </w:pPr>
      <w:r>
        <w:t>22.</w:t>
      </w:r>
      <w:r>
        <w:rPr>
          <w:b/>
        </w:rPr>
        <w:t xml:space="preserve"> </w:t>
      </w:r>
      <w:r>
        <w:rPr>
          <w:b/>
          <w:u w:val="single"/>
        </w:rPr>
        <w:t>Ханты-Мансийский район,</w:t>
      </w:r>
      <w:r>
        <w:t xml:space="preserve"> в данном муниципальном образовании прослеживаются следующие тенденции:</w:t>
      </w:r>
    </w:p>
    <w:p w:rsidR="00DC1467" w:rsidRDefault="00B70D3E">
      <w:pPr>
        <w:spacing w:line="276" w:lineRule="auto"/>
        <w:ind w:firstLine="709"/>
      </w:pPr>
      <w:r>
        <w:t>- увеличение по числу лиц, зарегистрированных с диагнозом «наркомания» на 21,7 %, при перерасчете на 100 тыс. населения: 2023 год – 47,5 (9) и 2024 год – 57,8 (</w:t>
      </w:r>
      <w:r>
        <w:t>11);</w:t>
      </w:r>
    </w:p>
    <w:p w:rsidR="00DC1467" w:rsidRDefault="00B70D3E">
      <w:pPr>
        <w:spacing w:line="276" w:lineRule="auto"/>
        <w:ind w:firstLine="709"/>
      </w:pPr>
      <w:r>
        <w:t>- тем</w:t>
      </w:r>
      <w:r>
        <w:t>п прироста (увеличение) по числу лиц, зарегистрированных с диагнозом «потребление наркотических средств с вредными последствиями», с 5 случаев (26,4 на 100 тыс. несовершеннолетних) в 2023 году до 7 случаев (36,8 на 100 тыс. несовершеннолетних) в 2024 году;</w:t>
      </w:r>
    </w:p>
    <w:p w:rsidR="00DC1467" w:rsidRDefault="00B70D3E">
      <w:pPr>
        <w:spacing w:line="276" w:lineRule="auto"/>
        <w:ind w:firstLine="709"/>
      </w:pPr>
      <w:r>
        <w:t>- наблюдается увеличение числа лиц с впервые в жизни установленным диагнозом «наркомания» с 0 случаев в 2023 году до 1 случая (5,3 на 100 тыс. населения) в 2024 году;</w:t>
      </w:r>
    </w:p>
    <w:p w:rsidR="00DC1467" w:rsidRDefault="00B70D3E">
      <w:pPr>
        <w:spacing w:line="276" w:lineRule="auto"/>
        <w:ind w:firstLine="709"/>
      </w:pPr>
      <w:r>
        <w:t>- увеличение числа лиц, впервые зарегистрированных с диагнозом «потребление наркотически</w:t>
      </w:r>
      <w:r>
        <w:t>х средств с вредными последствиями», с 1 случая (5,3 на 100 тыс. населения) в 2023 году до 2 случаев (10,5 на 100 тыс. населения) в 2024 году;</w:t>
      </w:r>
    </w:p>
    <w:p w:rsidR="00DC1467" w:rsidRDefault="00B70D3E">
      <w:pPr>
        <w:spacing w:line="276" w:lineRule="auto"/>
        <w:ind w:firstLine="709"/>
      </w:pPr>
      <w:r>
        <w:t xml:space="preserve">- увеличение количества отравлений наркотическими средствами и психотропными веществами со смертельными исходами </w:t>
      </w:r>
      <w:r>
        <w:t>с 0 случаев в 2023 году до 1 случая (5,3 на 100 тыс. населения) в 2024 году.</w:t>
      </w:r>
    </w:p>
    <w:p w:rsidR="00DC1467" w:rsidRDefault="00DC1467">
      <w:pPr>
        <w:spacing w:line="276" w:lineRule="auto"/>
        <w:ind w:firstLine="709"/>
        <w:rPr>
          <w:b/>
        </w:rPr>
      </w:pPr>
    </w:p>
    <w:p w:rsidR="00DC1467" w:rsidRDefault="00B70D3E">
      <w:pPr>
        <w:spacing w:line="276" w:lineRule="auto"/>
        <w:ind w:firstLine="709"/>
        <w:outlineLvl w:val="0"/>
        <w:rPr>
          <w:b/>
          <w:i/>
        </w:rPr>
      </w:pPr>
      <w:r>
        <w:rPr>
          <w:b/>
          <w:i/>
        </w:rPr>
        <w:t>Анализ причин произошедших изменений, в том числе по муниципальным образованиям автономного округа</w:t>
      </w:r>
    </w:p>
    <w:p w:rsidR="00DC1467" w:rsidRDefault="00B70D3E">
      <w:pPr>
        <w:pStyle w:val="af5"/>
        <w:spacing w:after="0" w:line="276" w:lineRule="auto"/>
        <w:ind w:firstLine="709"/>
        <w:jc w:val="both"/>
        <w:rPr>
          <w:sz w:val="28"/>
          <w:szCs w:val="28"/>
        </w:rPr>
      </w:pPr>
      <w:r>
        <w:rPr>
          <w:sz w:val="28"/>
          <w:szCs w:val="28"/>
        </w:rPr>
        <w:t>В разрезе муниципальных образований автономного округа уровень болезненности на</w:t>
      </w:r>
      <w:r>
        <w:rPr>
          <w:sz w:val="28"/>
          <w:szCs w:val="28"/>
        </w:rPr>
        <w:t xml:space="preserve">ркоманией в 2024 году в сравнении с прошлым анализируемым периодом имеет тенденцию к увеличению на территории </w:t>
      </w:r>
      <w:r>
        <w:rPr>
          <w:sz w:val="28"/>
          <w:szCs w:val="28"/>
        </w:rPr>
        <w:br/>
        <w:t>Ханты-Мансийска на 17,2 %, Сургута на 3,4 %, Сургутского района на 8,5 % и Ханты-Мансийского района на 21,7 %. В городах Когалым и Покачи и в Окт</w:t>
      </w:r>
      <w:r>
        <w:rPr>
          <w:sz w:val="28"/>
          <w:szCs w:val="28"/>
        </w:rPr>
        <w:t>ябрьском районе в связи с увеличением численности населения, при сохранении числа зарегистрированных лиц с наркоманией на уровне 2023 года отмечается снижение болезненности наркоманией на 0,9%, на 1,6% и на 1,4 % соответственно. В Белоярском и Кондинском р</w:t>
      </w:r>
      <w:r>
        <w:rPr>
          <w:sz w:val="28"/>
          <w:szCs w:val="28"/>
        </w:rPr>
        <w:t>айонах сохраняется болезненность наркоманией на уровне 2023 года. В других муниципальных образованиях автономного округа отмечается снижение уровня болезненности наркоманией.</w:t>
      </w:r>
    </w:p>
    <w:p w:rsidR="00DC1467" w:rsidRDefault="00B70D3E">
      <w:pPr>
        <w:pStyle w:val="af5"/>
        <w:spacing w:after="0" w:line="276" w:lineRule="auto"/>
        <w:ind w:firstLine="709"/>
        <w:jc w:val="both"/>
        <w:rPr>
          <w:sz w:val="28"/>
          <w:szCs w:val="28"/>
        </w:rPr>
      </w:pPr>
      <w:r>
        <w:rPr>
          <w:sz w:val="28"/>
          <w:szCs w:val="28"/>
        </w:rPr>
        <w:t>В то же время отмечается превышение уровня окружного показателя болезненности нар</w:t>
      </w:r>
      <w:r>
        <w:rPr>
          <w:sz w:val="28"/>
          <w:szCs w:val="28"/>
        </w:rPr>
        <w:t xml:space="preserve">команией в Югорске и в Советском районе в 2,3 раза, </w:t>
      </w:r>
      <w:r>
        <w:rPr>
          <w:sz w:val="28"/>
          <w:szCs w:val="28"/>
        </w:rPr>
        <w:br/>
        <w:t>в Ханты-Мансийске в 1,9 раза, в Пыть-Яхе в 1,7 раза, а также в городах Нижневартовск (на 50,1 %), Мегион (на 15,4 %) и Нягань (на 6,9 %).</w:t>
      </w:r>
    </w:p>
    <w:p w:rsidR="00DC1467" w:rsidRDefault="00B70D3E">
      <w:pPr>
        <w:pStyle w:val="af5"/>
        <w:spacing w:after="0" w:line="276" w:lineRule="auto"/>
        <w:ind w:firstLine="709"/>
        <w:jc w:val="both"/>
        <w:rPr>
          <w:sz w:val="28"/>
          <w:szCs w:val="28"/>
        </w:rPr>
      </w:pPr>
      <w:r>
        <w:rPr>
          <w:sz w:val="28"/>
          <w:szCs w:val="28"/>
        </w:rPr>
        <w:t>В структуре болезненности 58,0 % наркозависимых лиц имеют диагноз</w:t>
      </w:r>
      <w:r>
        <w:rPr>
          <w:sz w:val="28"/>
          <w:szCs w:val="28"/>
        </w:rPr>
        <w:t xml:space="preserve"> полинаркомании (потребление других наркотиков и их сочетаний) (2023 г. </w:t>
      </w:r>
      <w:r>
        <w:rPr>
          <w:sz w:val="28"/>
          <w:szCs w:val="28"/>
        </w:rPr>
        <w:br/>
        <w:t xml:space="preserve">– 55,2 %), 25,5 % – зависимость от употребления опиоидов (2023 г. – 28,5 %), 10,1 % – с зависимостью от других психостимуляторов и 6,5 % </w:t>
      </w:r>
      <w:r>
        <w:rPr>
          <w:sz w:val="28"/>
          <w:szCs w:val="28"/>
        </w:rPr>
        <w:br/>
        <w:t xml:space="preserve">– с зависимостью от каннабиноидов (в 2023 г. </w:t>
      </w:r>
      <w:r>
        <w:rPr>
          <w:sz w:val="28"/>
          <w:szCs w:val="28"/>
        </w:rPr>
        <w:t xml:space="preserve">– 9,6 % и 6,7 % соответственно). </w:t>
      </w:r>
    </w:p>
    <w:p w:rsidR="00DC1467" w:rsidRDefault="00B70D3E">
      <w:pPr>
        <w:spacing w:line="276" w:lineRule="auto"/>
        <w:ind w:firstLine="709"/>
      </w:pPr>
      <w:r>
        <w:t xml:space="preserve">Увеличение первичной заболеваемости наркоманией зафиксировано в следующих муниципальных образованиях автономного округа: в городах Сургут – с 6 случаев в 2023 году до 25 новых случаев в 2024 году; </w:t>
      </w:r>
      <w:r>
        <w:br/>
        <w:t xml:space="preserve">Ханты-Мансийск – с 4 до </w:t>
      </w:r>
      <w:r>
        <w:t>14 случаев; Нижневартовск – с 11 до 17 случаев; Нефтеюганск – с 3 до 5 случаев и в Ханты-Мансийском районе – с 0 до 1 случая.</w:t>
      </w:r>
    </w:p>
    <w:p w:rsidR="00DC1467" w:rsidRDefault="00B70D3E">
      <w:pPr>
        <w:spacing w:line="276" w:lineRule="auto"/>
        <w:ind w:firstLine="709"/>
      </w:pPr>
      <w:r>
        <w:t>В Нягани в связи с увеличением численности населения, при сохранении числа впервые в жизни зарегистрированных лиц с наркоманией на</w:t>
      </w:r>
      <w:r>
        <w:t xml:space="preserve"> уровне 2023 года отмечается снижение первичной заболеваемости наркоманией на 2,2 %.</w:t>
      </w:r>
    </w:p>
    <w:p w:rsidR="00DC1467" w:rsidRDefault="00B70D3E">
      <w:pPr>
        <w:spacing w:line="276" w:lineRule="auto"/>
        <w:ind w:firstLine="709"/>
      </w:pPr>
      <w:r>
        <w:t>В Радужном, Белоярском, Кондинском, Нефтеюганском и Октябрьском районах первичная заболеваемость наркоманией в 2024 и 2023 годах не зарегистрирована. В других муниципальны</w:t>
      </w:r>
      <w:r>
        <w:t>х образованиях – снижение первичной заболеваемости наркоманией.</w:t>
      </w:r>
    </w:p>
    <w:p w:rsidR="00DC1467" w:rsidRDefault="00B70D3E">
      <w:pPr>
        <w:pStyle w:val="af5"/>
        <w:spacing w:after="0" w:line="276" w:lineRule="auto"/>
        <w:ind w:firstLine="709"/>
        <w:jc w:val="both"/>
        <w:rPr>
          <w:sz w:val="28"/>
          <w:szCs w:val="28"/>
        </w:rPr>
      </w:pPr>
      <w:r>
        <w:rPr>
          <w:sz w:val="28"/>
          <w:szCs w:val="28"/>
        </w:rPr>
        <w:t xml:space="preserve">Наиболее значимый прирост первичной заболеваемости наркоманией отмечен в наиболее крупных муниципальных образованиях, являющихся транспортно-логистическими узлами в инфраструктуре автономного </w:t>
      </w:r>
      <w:r>
        <w:rPr>
          <w:sz w:val="28"/>
          <w:szCs w:val="28"/>
        </w:rPr>
        <w:t xml:space="preserve">округа и обусловлен реализацией мер, направленных на выявление и побуждение потребителей наркотических средств обратиться в медицинские организации. </w:t>
      </w:r>
    </w:p>
    <w:p w:rsidR="00DC1467" w:rsidRDefault="00B70D3E">
      <w:pPr>
        <w:spacing w:line="276" w:lineRule="auto"/>
        <w:ind w:firstLine="709"/>
      </w:pPr>
      <w:r>
        <w:t>В тоже время отмечается превышение уровня окружного показателя первичной заболеваемости наркоманией в Хант</w:t>
      </w:r>
      <w:r>
        <w:t>ы-Мансийске в 2,4 раза, в Сургутском районе в 1,6 раза, а также в Урае (на 40,4 %), Мегионе (на 28,8 %), Советском районе (на 25,0 %), в городах Нижневартовск и Сургут (на 13,5 % соответственно) и Ханты-Мансийском районе (на 1,9 %).</w:t>
      </w:r>
    </w:p>
    <w:p w:rsidR="00DC1467" w:rsidRDefault="00B70D3E">
      <w:pPr>
        <w:spacing w:line="276" w:lineRule="auto"/>
        <w:ind w:firstLine="709"/>
      </w:pPr>
      <w:r>
        <w:t>Количество лиц, зарегис</w:t>
      </w:r>
      <w:r>
        <w:t>трированных впервые в жизни с диагнозом наркомания в 2024 году в абсолютных показателях, следующее: Сургут – 25 человек; Нижневартовск – 17 человек; Ханты-Мансийск – 14 человек; Сургутский район – 11 человек; Нефтеюганск – 5 человек; Мегион – 4 человека. В</w:t>
      </w:r>
      <w:r>
        <w:t xml:space="preserve"> других муниципальных образованиях количество впервые выявленных случаев наркомании зарегистрированных медицинскими организациями не превышает 3-х человек. </w:t>
      </w:r>
    </w:p>
    <w:p w:rsidR="00DC1467" w:rsidRDefault="00B70D3E">
      <w:pPr>
        <w:spacing w:line="276" w:lineRule="auto"/>
        <w:ind w:firstLine="709"/>
      </w:pPr>
      <w:r>
        <w:t>Снижение первичной заболеваемости наркоманией за год зафиксировано в 12-ти из 22 муниципальных обра</w:t>
      </w:r>
      <w:r>
        <w:t xml:space="preserve">зований: </w:t>
      </w:r>
      <w:r>
        <w:rPr>
          <w:color w:val="000000"/>
        </w:rPr>
        <w:t xml:space="preserve">Лангепас </w:t>
      </w:r>
      <w:r>
        <w:t>– на 70,9 %</w:t>
      </w:r>
      <w:r>
        <w:rPr>
          <w:color w:val="000000"/>
        </w:rPr>
        <w:t xml:space="preserve">; Когалым </w:t>
      </w:r>
      <w:r>
        <w:t xml:space="preserve">– на 66,0 %; </w:t>
      </w:r>
      <w:r>
        <w:rPr>
          <w:color w:val="000000"/>
        </w:rPr>
        <w:t xml:space="preserve">Урай </w:t>
      </w:r>
      <w:r>
        <w:t xml:space="preserve">– на 57,1 %; </w:t>
      </w:r>
      <w:r>
        <w:rPr>
          <w:color w:val="000000"/>
        </w:rPr>
        <w:t xml:space="preserve">Нижневартовский район </w:t>
      </w:r>
      <w:r>
        <w:t xml:space="preserve">– на 33,3 %; </w:t>
      </w:r>
      <w:r>
        <w:rPr>
          <w:color w:val="000000"/>
        </w:rPr>
        <w:t xml:space="preserve">Советский район </w:t>
      </w:r>
      <w:r>
        <w:t xml:space="preserve">– на 24,4 %; </w:t>
      </w:r>
      <w:r>
        <w:rPr>
          <w:color w:val="000000"/>
        </w:rPr>
        <w:t xml:space="preserve">Сургутский район </w:t>
      </w:r>
      <w:r>
        <w:t xml:space="preserve">– на 22,7 %; </w:t>
      </w:r>
      <w:r>
        <w:rPr>
          <w:color w:val="000000"/>
        </w:rPr>
        <w:t xml:space="preserve">Мегион </w:t>
      </w:r>
      <w:r>
        <w:t>– на 20,2 %.</w:t>
      </w:r>
    </w:p>
    <w:p w:rsidR="00DC1467" w:rsidRDefault="00B70D3E">
      <w:pPr>
        <w:spacing w:line="276" w:lineRule="auto"/>
        <w:ind w:firstLine="709"/>
      </w:pPr>
      <w:r>
        <w:t>В городах Покачи, Пыть-Ях, Югорск и Березовском районе в 2024 году перви</w:t>
      </w:r>
      <w:r>
        <w:t>чная заболеваемость наркоманией не зарегистрирована, тогда как в 2023 году она составляла 6,1; 5,0; 7,7 и 8,6 на 100 тыс. населения соответственно.</w:t>
      </w:r>
    </w:p>
    <w:p w:rsidR="00DC1467" w:rsidRDefault="00B70D3E">
      <w:pPr>
        <w:pStyle w:val="af5"/>
        <w:spacing w:after="0" w:line="276" w:lineRule="auto"/>
        <w:ind w:firstLine="709"/>
        <w:jc w:val="both"/>
        <w:rPr>
          <w:sz w:val="28"/>
          <w:szCs w:val="28"/>
        </w:rPr>
      </w:pPr>
      <w:r>
        <w:rPr>
          <w:sz w:val="28"/>
          <w:szCs w:val="28"/>
        </w:rPr>
        <w:t>Из общего числа впервые заболевших наркоманией в 2024 году у 71,4 % больных установлен диагноз «полинаркоман</w:t>
      </w:r>
      <w:r>
        <w:rPr>
          <w:sz w:val="28"/>
          <w:szCs w:val="28"/>
        </w:rPr>
        <w:t>ия» (2023 г. – 79,5 %); «зависимость от психостимуляторов» – 18,7 % (2023 г. – 11,5 %); «зависимость от каннабиноидов» – 5,5 % (2023 г. – 6,4 %); диагноз «зависимость от опиатов» (героин,</w:t>
      </w:r>
      <w:r>
        <w:rPr>
          <w:color w:val="0000FF"/>
          <w:sz w:val="28"/>
          <w:szCs w:val="28"/>
        </w:rPr>
        <w:t xml:space="preserve"> </w:t>
      </w:r>
      <w:r>
        <w:rPr>
          <w:sz w:val="28"/>
          <w:szCs w:val="28"/>
        </w:rPr>
        <w:t xml:space="preserve">морфин, дезоморфин) – 4,4 % случаев (2023 г. – 2,6 %). </w:t>
      </w:r>
    </w:p>
    <w:p w:rsidR="00DC1467" w:rsidRDefault="00B70D3E">
      <w:pPr>
        <w:pStyle w:val="af5"/>
        <w:spacing w:after="0" w:line="276" w:lineRule="auto"/>
        <w:ind w:firstLine="709"/>
        <w:jc w:val="both"/>
        <w:rPr>
          <w:sz w:val="28"/>
          <w:szCs w:val="28"/>
        </w:rPr>
      </w:pPr>
      <w:r>
        <w:rPr>
          <w:sz w:val="28"/>
          <w:szCs w:val="28"/>
        </w:rPr>
        <w:t>Таким образо</w:t>
      </w:r>
      <w:r>
        <w:rPr>
          <w:sz w:val="28"/>
          <w:szCs w:val="28"/>
        </w:rPr>
        <w:t>м, в 2024 году в сравнении с 2023 годом в структуре наркопотребления среди лиц, выявленных впервые в жизни в связи с потреблением наркотических средств, на фоне увеличения их абсолютного числа отмечается увеличение доли потребления других психостимуляторов</w:t>
      </w:r>
      <w:r>
        <w:rPr>
          <w:sz w:val="28"/>
          <w:szCs w:val="28"/>
        </w:rPr>
        <w:t xml:space="preserve"> и опиоидов.</w:t>
      </w:r>
    </w:p>
    <w:p w:rsidR="00DC1467" w:rsidRDefault="00B70D3E">
      <w:pPr>
        <w:pStyle w:val="af5"/>
        <w:spacing w:after="0" w:line="276" w:lineRule="auto"/>
        <w:ind w:firstLine="709"/>
        <w:jc w:val="both"/>
        <w:rPr>
          <w:sz w:val="28"/>
          <w:szCs w:val="28"/>
        </w:rPr>
      </w:pPr>
      <w:r>
        <w:rPr>
          <w:sz w:val="28"/>
          <w:szCs w:val="28"/>
        </w:rPr>
        <w:t>В структуре первичной заболеваемости наркоманией за 2024 год, также как в 2023 году, несовершеннолетних зарегистрировано не было.</w:t>
      </w:r>
    </w:p>
    <w:p w:rsidR="00DC1467" w:rsidRDefault="00B70D3E">
      <w:pPr>
        <w:pStyle w:val="af3"/>
        <w:widowControl w:val="0"/>
        <w:spacing w:after="0" w:line="276" w:lineRule="auto"/>
        <w:ind w:firstLine="709"/>
        <w:jc w:val="both"/>
        <w:rPr>
          <w:sz w:val="28"/>
          <w:szCs w:val="28"/>
        </w:rPr>
      </w:pPr>
      <w:r>
        <w:rPr>
          <w:sz w:val="28"/>
          <w:szCs w:val="28"/>
        </w:rPr>
        <w:t xml:space="preserve">Рассматривая динамику показателей общей и первичной заболеваемости наркоманией за 2024 год, можно сделать следующие выводы. Имеет место снижение общей заболеваемости наркоманией среди всего населения, при ее отсутствии среди несовершеннолетних, увеличение </w:t>
      </w:r>
      <w:r>
        <w:rPr>
          <w:sz w:val="28"/>
          <w:szCs w:val="28"/>
        </w:rPr>
        <w:t>первичной заболеваемости наркоманией среди всего населения и отсутствие ее среди несовершеннолетних за последние 3 года.</w:t>
      </w:r>
    </w:p>
    <w:p w:rsidR="00DC1467" w:rsidRDefault="00B70D3E">
      <w:pPr>
        <w:spacing w:line="276" w:lineRule="auto"/>
        <w:ind w:firstLine="709"/>
      </w:pPr>
      <w:r>
        <w:t>Важное значение в улучшении наркоситуации имеет межведомственное сотрудничество органов профилактики с представителями СМИ и информацио</w:t>
      </w:r>
      <w:r>
        <w:t>нного пространства, включая средства массовой информации, рекламные агентства, блогеров, полиграфические компании и другие. Это сотрудничество направлено на продвижение здорового образа жизни, информирование о возможностях обучения и развития навыков и тал</w:t>
      </w:r>
      <w:r>
        <w:t>антов, поддержку активной гражданской позиции среди жителей Югры, а также на просвещение население о последствиях и ответственности за незаконный оборот психоактивных веществ, включая административные и уголовные наказания, проблемы в семье, трудовую дезад</w:t>
      </w:r>
      <w:r>
        <w:t>аптацию и личностную деградацию.</w:t>
      </w:r>
    </w:p>
    <w:p w:rsidR="00DC1467" w:rsidRDefault="00B70D3E">
      <w:pPr>
        <w:spacing w:line="276" w:lineRule="auto"/>
        <w:ind w:firstLine="709"/>
      </w:pPr>
      <w:r>
        <w:t>Кроме того, значимую роль сыграли мероприятия, проводимые правоохранительными органами, по предотвращению ввоза и выявлению каналов сбыта наркотических средств в автономном округе, обнаружению наркопотребителей, а также выя</w:t>
      </w:r>
      <w:r>
        <w:t>влению и пресечению способов рекламы и информирования о незаконной деятельности в социальных сетях и мессенджерах.</w:t>
      </w:r>
    </w:p>
    <w:p w:rsidR="00DC1467" w:rsidRDefault="00B70D3E">
      <w:pPr>
        <w:pStyle w:val="af3"/>
        <w:widowControl w:val="0"/>
        <w:spacing w:after="0" w:line="276" w:lineRule="auto"/>
        <w:ind w:firstLine="709"/>
        <w:jc w:val="both"/>
        <w:rPr>
          <w:sz w:val="28"/>
          <w:szCs w:val="28"/>
        </w:rPr>
      </w:pPr>
      <w:r>
        <w:rPr>
          <w:sz w:val="28"/>
          <w:szCs w:val="28"/>
        </w:rPr>
        <w:t xml:space="preserve">Меры, направленные на снижение распространения наркопотребления, лечебно-профилактические мероприятия для людей с наркотической зависимостью </w:t>
      </w:r>
      <w:r>
        <w:rPr>
          <w:sz w:val="28"/>
          <w:szCs w:val="28"/>
        </w:rPr>
        <w:t>и реабилитационные программы средней и долгосрочной перспективы, способствовали стабилизации доли впервые взятых под наблюдение от общего числа наблюдаемых в 2023-2024 годах.</w:t>
      </w:r>
    </w:p>
    <w:p w:rsidR="00DC1467" w:rsidRDefault="00B70D3E">
      <w:pPr>
        <w:pStyle w:val="af3"/>
        <w:widowControl w:val="0"/>
        <w:spacing w:after="0" w:line="276" w:lineRule="auto"/>
        <w:ind w:firstLine="709"/>
        <w:jc w:val="both"/>
        <w:rPr>
          <w:sz w:val="28"/>
          <w:szCs w:val="28"/>
        </w:rPr>
      </w:pPr>
      <w:r>
        <w:rPr>
          <w:sz w:val="28"/>
          <w:szCs w:val="28"/>
        </w:rPr>
        <w:t>Рост числа впервые выявленных потребителей наркотиков с синдромом зависимости, которые ранее не попадали в поле зрения наркологической службы, объясняется несколькими факторами: потоки учебной и трудовой миграции населения в населенные пункты автономного о</w:t>
      </w:r>
      <w:r>
        <w:rPr>
          <w:sz w:val="28"/>
          <w:szCs w:val="28"/>
        </w:rPr>
        <w:t>круга; активное межведомственное сотрудничество с правоохранительными органами, системой образования и другими субъектами профилактики; изменение подходов к проведению профилактических медицинских осмотров с использованием обязательных и дополнительных диа</w:t>
      </w:r>
      <w:r>
        <w:rPr>
          <w:sz w:val="28"/>
          <w:szCs w:val="28"/>
        </w:rPr>
        <w:t>гностических методов для определения психоактивных веществ в организме человека.</w:t>
      </w:r>
    </w:p>
    <w:p w:rsidR="00DC1467" w:rsidRDefault="00B70D3E">
      <w:pPr>
        <w:pStyle w:val="af3"/>
        <w:widowControl w:val="0"/>
        <w:spacing w:after="0" w:line="276" w:lineRule="auto"/>
        <w:ind w:firstLine="709"/>
        <w:jc w:val="both"/>
        <w:rPr>
          <w:sz w:val="28"/>
          <w:szCs w:val="28"/>
        </w:rPr>
      </w:pPr>
      <w:r>
        <w:rPr>
          <w:sz w:val="28"/>
          <w:szCs w:val="28"/>
        </w:rPr>
        <w:t>Анализ изменения структуры наркопотребления показывает превалирование доли потребителей синтетических наркотиков, учитываемых в диагностической группе «потребители других нарк</w:t>
      </w:r>
      <w:r>
        <w:rPr>
          <w:sz w:val="28"/>
          <w:szCs w:val="28"/>
        </w:rPr>
        <w:t>отических веществ (полинаркомания)».</w:t>
      </w:r>
    </w:p>
    <w:p w:rsidR="00DC1467" w:rsidRDefault="00B70D3E">
      <w:pPr>
        <w:pStyle w:val="af5"/>
        <w:spacing w:after="0" w:line="276" w:lineRule="auto"/>
        <w:ind w:firstLine="709"/>
        <w:jc w:val="both"/>
        <w:rPr>
          <w:sz w:val="28"/>
          <w:szCs w:val="28"/>
        </w:rPr>
      </w:pPr>
      <w:r>
        <w:rPr>
          <w:sz w:val="28"/>
          <w:szCs w:val="28"/>
        </w:rPr>
        <w:t>В разрезе муниципальных образований увеличения показателя распространенности пагубного употребления наркотиков среди несовершеннолетних зарегистрировано в шести муниципальных образованиях:</w:t>
      </w:r>
    </w:p>
    <w:p w:rsidR="00DC1467" w:rsidRDefault="00B70D3E">
      <w:pPr>
        <w:pStyle w:val="af5"/>
        <w:spacing w:after="0" w:line="276" w:lineRule="auto"/>
        <w:ind w:firstLine="709"/>
        <w:jc w:val="both"/>
        <w:rPr>
          <w:sz w:val="28"/>
          <w:szCs w:val="28"/>
        </w:rPr>
      </w:pPr>
      <w:r>
        <w:rPr>
          <w:sz w:val="28"/>
          <w:szCs w:val="28"/>
        </w:rPr>
        <w:t xml:space="preserve">г. Радужный – </w:t>
      </w:r>
      <w:r>
        <w:rPr>
          <w:color w:val="000000"/>
          <w:sz w:val="28"/>
          <w:szCs w:val="28"/>
        </w:rPr>
        <w:t>с 0 до 2 случаев</w:t>
      </w:r>
      <w:r>
        <w:rPr>
          <w:color w:val="000000"/>
          <w:sz w:val="28"/>
          <w:szCs w:val="28"/>
        </w:rPr>
        <w:t xml:space="preserve"> (15,4 на 100 тыс. несовершеннолетних);</w:t>
      </w:r>
    </w:p>
    <w:p w:rsidR="00DC1467" w:rsidRDefault="00B70D3E">
      <w:pPr>
        <w:pStyle w:val="af5"/>
        <w:spacing w:after="0" w:line="276" w:lineRule="auto"/>
        <w:ind w:firstLine="709"/>
        <w:jc w:val="both"/>
        <w:rPr>
          <w:sz w:val="28"/>
          <w:szCs w:val="28"/>
        </w:rPr>
      </w:pPr>
      <w:r>
        <w:rPr>
          <w:sz w:val="28"/>
          <w:szCs w:val="28"/>
        </w:rPr>
        <w:t xml:space="preserve">г. Покачи </w:t>
      </w:r>
      <w:r>
        <w:rPr>
          <w:color w:val="000000"/>
          <w:sz w:val="28"/>
          <w:szCs w:val="28"/>
        </w:rPr>
        <w:t>–с 0 до 1 случая (20,8 на 100 тыс. несовершеннолетних);</w:t>
      </w:r>
    </w:p>
    <w:p w:rsidR="00DC1467" w:rsidRDefault="00B70D3E">
      <w:pPr>
        <w:pStyle w:val="af5"/>
        <w:spacing w:after="0" w:line="276" w:lineRule="auto"/>
        <w:ind w:firstLine="709"/>
        <w:jc w:val="both"/>
        <w:rPr>
          <w:sz w:val="28"/>
          <w:szCs w:val="28"/>
        </w:rPr>
      </w:pPr>
      <w:r>
        <w:rPr>
          <w:sz w:val="28"/>
          <w:szCs w:val="28"/>
        </w:rPr>
        <w:t xml:space="preserve">г. Нягань </w:t>
      </w:r>
      <w:r>
        <w:rPr>
          <w:color w:val="000000"/>
          <w:sz w:val="28"/>
          <w:szCs w:val="28"/>
        </w:rPr>
        <w:t>– с 0 до 1 случая (6,1 на 100 тыс. несовершеннолетних);</w:t>
      </w:r>
    </w:p>
    <w:p w:rsidR="00DC1467" w:rsidRDefault="00B70D3E">
      <w:pPr>
        <w:pStyle w:val="af5"/>
        <w:spacing w:after="0" w:line="276" w:lineRule="auto"/>
        <w:ind w:firstLine="709"/>
        <w:jc w:val="both"/>
        <w:rPr>
          <w:sz w:val="28"/>
          <w:szCs w:val="28"/>
        </w:rPr>
      </w:pPr>
      <w:r>
        <w:rPr>
          <w:sz w:val="28"/>
          <w:szCs w:val="28"/>
        </w:rPr>
        <w:t xml:space="preserve">г. Когалым – </w:t>
      </w:r>
      <w:r>
        <w:rPr>
          <w:color w:val="000000"/>
          <w:sz w:val="28"/>
          <w:szCs w:val="28"/>
        </w:rPr>
        <w:t>с 0 до 1 случая (5,8 на 100 тыс. несовершеннолетних);</w:t>
      </w:r>
    </w:p>
    <w:p w:rsidR="00DC1467" w:rsidRDefault="00B70D3E">
      <w:pPr>
        <w:pStyle w:val="af5"/>
        <w:spacing w:after="0" w:line="276" w:lineRule="auto"/>
        <w:ind w:firstLine="709"/>
        <w:jc w:val="both"/>
        <w:rPr>
          <w:sz w:val="28"/>
          <w:szCs w:val="28"/>
        </w:rPr>
      </w:pPr>
      <w:r>
        <w:rPr>
          <w:sz w:val="28"/>
          <w:szCs w:val="28"/>
        </w:rPr>
        <w:t>г. Ханты-Мансийск</w:t>
      </w:r>
      <w:r>
        <w:rPr>
          <w:sz w:val="28"/>
          <w:szCs w:val="28"/>
        </w:rPr>
        <w:t xml:space="preserve"> – </w:t>
      </w:r>
      <w:r>
        <w:rPr>
          <w:color w:val="000000"/>
          <w:sz w:val="28"/>
          <w:szCs w:val="28"/>
        </w:rPr>
        <w:t>с 0 до 1 случая (3,8 на 100 тыс. несовершеннолетних);</w:t>
      </w:r>
    </w:p>
    <w:p w:rsidR="00DC1467" w:rsidRDefault="00B70D3E">
      <w:pPr>
        <w:pStyle w:val="af5"/>
        <w:spacing w:after="0" w:line="276" w:lineRule="auto"/>
        <w:ind w:firstLine="709"/>
        <w:jc w:val="both"/>
        <w:rPr>
          <w:color w:val="000000"/>
          <w:sz w:val="28"/>
          <w:szCs w:val="28"/>
        </w:rPr>
      </w:pPr>
      <w:r>
        <w:rPr>
          <w:sz w:val="28"/>
          <w:szCs w:val="28"/>
        </w:rPr>
        <w:t xml:space="preserve">г. Нижневартовскт – </w:t>
      </w:r>
      <w:r>
        <w:rPr>
          <w:color w:val="000000"/>
          <w:sz w:val="28"/>
          <w:szCs w:val="28"/>
        </w:rPr>
        <w:t>с 0 до 1 случая (1,5 на 100 тыс. несовершеннолетних).</w:t>
      </w:r>
    </w:p>
    <w:p w:rsidR="00DC1467" w:rsidRDefault="00B70D3E">
      <w:pPr>
        <w:pStyle w:val="af5"/>
        <w:spacing w:after="0" w:line="276" w:lineRule="auto"/>
        <w:ind w:firstLine="709"/>
        <w:jc w:val="both"/>
        <w:rPr>
          <w:sz w:val="28"/>
          <w:szCs w:val="28"/>
        </w:rPr>
      </w:pPr>
      <w:r>
        <w:rPr>
          <w:color w:val="000000"/>
          <w:sz w:val="28"/>
          <w:szCs w:val="28"/>
        </w:rPr>
        <w:t xml:space="preserve">В следующих муниципальных образованиях зафиксировано снижение </w:t>
      </w:r>
      <w:r>
        <w:rPr>
          <w:sz w:val="28"/>
          <w:szCs w:val="28"/>
        </w:rPr>
        <w:t>распространенности пагубного употребления наркотиков среди несо</w:t>
      </w:r>
      <w:r>
        <w:rPr>
          <w:sz w:val="28"/>
          <w:szCs w:val="28"/>
        </w:rPr>
        <w:t xml:space="preserve">вершеннолетних: </w:t>
      </w:r>
    </w:p>
    <w:p w:rsidR="00DC1467" w:rsidRDefault="00B70D3E">
      <w:pPr>
        <w:pStyle w:val="af5"/>
        <w:spacing w:after="0" w:line="276" w:lineRule="auto"/>
        <w:ind w:firstLine="709"/>
        <w:jc w:val="both"/>
        <w:rPr>
          <w:color w:val="000000"/>
          <w:sz w:val="28"/>
          <w:szCs w:val="28"/>
        </w:rPr>
      </w:pPr>
      <w:r>
        <w:rPr>
          <w:color w:val="000000"/>
          <w:sz w:val="28"/>
          <w:szCs w:val="28"/>
        </w:rPr>
        <w:t xml:space="preserve">г. Сургут </w:t>
      </w:r>
      <w:r>
        <w:rPr>
          <w:sz w:val="28"/>
          <w:szCs w:val="28"/>
        </w:rPr>
        <w:t xml:space="preserve">– </w:t>
      </w:r>
      <w:r>
        <w:rPr>
          <w:color w:val="000000"/>
          <w:sz w:val="28"/>
          <w:szCs w:val="28"/>
        </w:rPr>
        <w:t>с 11 случаев (10,6 на 100 тыс. несовершеннолетних) до 9 случаев (8,5 на 100 тыс. несовершеннолетних);</w:t>
      </w:r>
    </w:p>
    <w:p w:rsidR="00DC1467" w:rsidRDefault="00B70D3E">
      <w:pPr>
        <w:pStyle w:val="af5"/>
        <w:spacing w:after="0" w:line="276" w:lineRule="auto"/>
        <w:ind w:firstLine="709"/>
        <w:jc w:val="both"/>
        <w:rPr>
          <w:color w:val="000000"/>
          <w:sz w:val="28"/>
          <w:szCs w:val="28"/>
        </w:rPr>
      </w:pPr>
      <w:r>
        <w:rPr>
          <w:color w:val="000000"/>
          <w:sz w:val="28"/>
          <w:szCs w:val="28"/>
        </w:rPr>
        <w:t xml:space="preserve">Сургутский район </w:t>
      </w:r>
      <w:r>
        <w:rPr>
          <w:sz w:val="28"/>
          <w:szCs w:val="28"/>
        </w:rPr>
        <w:t xml:space="preserve">– </w:t>
      </w:r>
      <w:r>
        <w:rPr>
          <w:color w:val="000000"/>
          <w:sz w:val="28"/>
          <w:szCs w:val="28"/>
        </w:rPr>
        <w:t>с 6 случаев (16,6 на 100 тыс. несовершеннолетних) до 4 случаев (10,9 на 100 тыс. несовершеннолетних).</w:t>
      </w:r>
    </w:p>
    <w:p w:rsidR="00DC1467" w:rsidRDefault="00B70D3E">
      <w:pPr>
        <w:pStyle w:val="af5"/>
        <w:spacing w:after="0" w:line="276" w:lineRule="auto"/>
        <w:ind w:firstLine="709"/>
        <w:jc w:val="both"/>
        <w:rPr>
          <w:color w:val="000000"/>
          <w:sz w:val="28"/>
          <w:szCs w:val="28"/>
        </w:rPr>
      </w:pPr>
      <w:r>
        <w:rPr>
          <w:color w:val="000000"/>
          <w:sz w:val="28"/>
          <w:szCs w:val="28"/>
        </w:rPr>
        <w:t>В др</w:t>
      </w:r>
      <w:r>
        <w:rPr>
          <w:color w:val="000000"/>
          <w:sz w:val="28"/>
          <w:szCs w:val="28"/>
        </w:rPr>
        <w:t>угих муниципальных образованиях распространённость пагубного употребления наркотиков среди несовершеннолетних не зарегистрирована в 2023-2024 годах.</w:t>
      </w:r>
    </w:p>
    <w:p w:rsidR="00DC1467" w:rsidRDefault="00B70D3E">
      <w:pPr>
        <w:spacing w:line="276" w:lineRule="auto"/>
        <w:ind w:firstLine="709"/>
      </w:pPr>
      <w:r>
        <w:t>Увеличение первичной заболеваемости пагубного употребления наркотиков без синдрома зависимости зафиксирован</w:t>
      </w:r>
      <w:r>
        <w:t>о в следующих муниципальных образованиях Ханты-Мансийского автономного округа – Югры:</w:t>
      </w:r>
    </w:p>
    <w:p w:rsidR="00DC1467" w:rsidRDefault="00B70D3E">
      <w:pPr>
        <w:spacing w:line="276" w:lineRule="auto"/>
        <w:ind w:firstLine="709"/>
        <w:rPr>
          <w:color w:val="000000"/>
        </w:rPr>
      </w:pPr>
      <w:r>
        <w:t>в г. Ханты-Мансийске – увеличение с 2 случаев в 2023 году (1,8 на 100 тыс. населения) до 7 случаев в 2024 году (6,3 на 100 тыс. населения)</w:t>
      </w:r>
      <w:r>
        <w:rPr>
          <w:color w:val="000000"/>
        </w:rPr>
        <w:t>;</w:t>
      </w:r>
    </w:p>
    <w:p w:rsidR="00DC1467" w:rsidRDefault="00B70D3E">
      <w:pPr>
        <w:spacing w:line="276" w:lineRule="auto"/>
        <w:ind w:firstLine="709"/>
        <w:rPr>
          <w:color w:val="000000"/>
        </w:rPr>
      </w:pPr>
      <w:r>
        <w:t>в Кондинском районе – увеличен</w:t>
      </w:r>
      <w:r>
        <w:t>ие с 2 случаев в 2023 году (6,6 на 100 тыс. населения) до 6 случаев в 2024 году (19,7 на 100 тыс. населения)</w:t>
      </w:r>
      <w:r>
        <w:rPr>
          <w:color w:val="000000"/>
        </w:rPr>
        <w:t>;</w:t>
      </w:r>
    </w:p>
    <w:p w:rsidR="00DC1467" w:rsidRDefault="00B70D3E">
      <w:pPr>
        <w:spacing w:line="276" w:lineRule="auto"/>
        <w:ind w:firstLine="709"/>
        <w:rPr>
          <w:color w:val="000000"/>
        </w:rPr>
      </w:pPr>
      <w:r>
        <w:t>в г. Нижневартовске – увеличение с 10 случаев в 2023 году (3,5 на 100 тыс. населения) до 13 случаев в 2024 году (4,5 на 100 тыс. населения)</w:t>
      </w:r>
      <w:r>
        <w:rPr>
          <w:color w:val="000000"/>
        </w:rPr>
        <w:t>;</w:t>
      </w:r>
    </w:p>
    <w:p w:rsidR="00DC1467" w:rsidRDefault="00B70D3E">
      <w:pPr>
        <w:spacing w:line="276" w:lineRule="auto"/>
        <w:ind w:firstLine="709"/>
        <w:rPr>
          <w:color w:val="000000"/>
        </w:rPr>
      </w:pPr>
      <w:r>
        <w:t xml:space="preserve">в г. </w:t>
      </w:r>
      <w:r>
        <w:t>Радужном – увеличение с 3 случаев в 2023 году (6,7 на 100 тыс. населения) до 6 случаев в 2024 году (13,2 на 100 тыс. населения)</w:t>
      </w:r>
      <w:r>
        <w:rPr>
          <w:color w:val="000000"/>
        </w:rPr>
        <w:t>;</w:t>
      </w:r>
    </w:p>
    <w:p w:rsidR="00DC1467" w:rsidRDefault="00B70D3E">
      <w:pPr>
        <w:spacing w:line="276" w:lineRule="auto"/>
        <w:ind w:firstLine="709"/>
        <w:rPr>
          <w:color w:val="000000"/>
        </w:rPr>
      </w:pPr>
      <w:r>
        <w:t>в г. Югорске – увеличение с 1 случая в 2023 году (2,6 на 100 тыс. населения) до 2 случаев в 2024 году (5,1 на 100 тыс. населени</w:t>
      </w:r>
      <w:r>
        <w:t>я)</w:t>
      </w:r>
      <w:r>
        <w:rPr>
          <w:color w:val="000000"/>
        </w:rPr>
        <w:t>;</w:t>
      </w:r>
    </w:p>
    <w:p w:rsidR="00DC1467" w:rsidRDefault="00B70D3E">
      <w:pPr>
        <w:spacing w:line="276" w:lineRule="auto"/>
        <w:ind w:firstLine="709"/>
        <w:rPr>
          <w:color w:val="000000"/>
        </w:rPr>
      </w:pPr>
      <w:r>
        <w:t>в Ханты-Мансийском районе – увеличение с 1 случая в 2023 году (5,3 на 100 тыс. населения) до 2 случаев в 2024 году (10,5 на 100 тыс. населения)</w:t>
      </w:r>
      <w:r>
        <w:rPr>
          <w:color w:val="000000"/>
        </w:rPr>
        <w:t>.</w:t>
      </w:r>
    </w:p>
    <w:p w:rsidR="00DC1467" w:rsidRDefault="00B70D3E">
      <w:pPr>
        <w:spacing w:line="276" w:lineRule="auto"/>
        <w:ind w:firstLine="709"/>
      </w:pPr>
      <w:r>
        <w:t>В Белоярском, Березовском и Нефтеюганском районах в 2023-2024 годах не зарегистрированы впервые в жизни пот</w:t>
      </w:r>
      <w:r>
        <w:t xml:space="preserve">ребители наркотиков с вредными последствиями. </w:t>
      </w:r>
    </w:p>
    <w:p w:rsidR="00DC1467" w:rsidRDefault="00B70D3E">
      <w:pPr>
        <w:spacing w:line="276" w:lineRule="auto"/>
        <w:ind w:firstLine="709"/>
      </w:pPr>
      <w:r>
        <w:t>В других муниципальных образованиях ХМАО – Югры отмечается снижение первичной заболеваемости пагубного употребления наркотиков с вредными последствиями.</w:t>
      </w:r>
    </w:p>
    <w:p w:rsidR="00DC1467" w:rsidRDefault="00B70D3E">
      <w:pPr>
        <w:spacing w:line="276" w:lineRule="auto"/>
        <w:ind w:firstLine="709"/>
      </w:pPr>
      <w:r>
        <w:rPr>
          <w:color w:val="000000"/>
        </w:rPr>
        <w:t>Н</w:t>
      </w:r>
      <w:r>
        <w:t xml:space="preserve">аблюдаемая динамика первичной заболеваемости пагубного </w:t>
      </w:r>
      <w:r>
        <w:t xml:space="preserve">употребления наркотиков без синдрома зависимости в муниципальных образованиях, где порядок цифр небольшой и разница составляет от единицы до 5-ти новых зарегистрированных случаев, не является значимой. </w:t>
      </w:r>
    </w:p>
    <w:p w:rsidR="00DC1467" w:rsidRDefault="00B70D3E">
      <w:pPr>
        <w:pStyle w:val="af5"/>
        <w:spacing w:after="0" w:line="276" w:lineRule="auto"/>
        <w:ind w:firstLine="709"/>
        <w:jc w:val="both"/>
        <w:rPr>
          <w:sz w:val="28"/>
          <w:szCs w:val="28"/>
        </w:rPr>
      </w:pPr>
      <w:r>
        <w:rPr>
          <w:sz w:val="28"/>
          <w:szCs w:val="28"/>
        </w:rPr>
        <w:t xml:space="preserve">В структуре первичной заболеваемости </w:t>
      </w:r>
      <w:r>
        <w:rPr>
          <w:color w:val="000000"/>
          <w:sz w:val="28"/>
          <w:szCs w:val="28"/>
        </w:rPr>
        <w:t>пагубного употре</w:t>
      </w:r>
      <w:r>
        <w:rPr>
          <w:color w:val="000000"/>
          <w:sz w:val="28"/>
          <w:szCs w:val="28"/>
        </w:rPr>
        <w:t>бления наркотиков</w:t>
      </w:r>
      <w:r>
        <w:rPr>
          <w:sz w:val="28"/>
          <w:szCs w:val="28"/>
        </w:rPr>
        <w:t xml:space="preserve"> за 2024 год было зарегистрировано 12 несовершеннолетних пациентов (АППГ – 7). В 2023 году зарегистрировано 7 несовершеннолетних пациентов. Данная динамика объясняется как ростом числа обращений за медицинской наркологической помощью среди</w:t>
      </w:r>
      <w:r>
        <w:rPr>
          <w:sz w:val="28"/>
          <w:szCs w:val="28"/>
        </w:rPr>
        <w:t xml:space="preserve"> лиц, употребляющих психоактивные вещества без сформированной зависимости, так и успешностью мероприятий, направленных на раннее выявление незаконного потребления и ограничение возможностей приобретения наркотиков. Результаты достигаются благодаря масштабн</w:t>
      </w:r>
      <w:r>
        <w:rPr>
          <w:sz w:val="28"/>
          <w:szCs w:val="28"/>
        </w:rPr>
        <w:t>ым санитарно-просветительским и профилактическим кампаниям, охватывающим различные группы населения. В их числе:</w:t>
      </w:r>
    </w:p>
    <w:p w:rsidR="00DC1467" w:rsidRDefault="00B70D3E">
      <w:pPr>
        <w:pStyle w:val="af5"/>
        <w:spacing w:after="0" w:line="276" w:lineRule="auto"/>
        <w:ind w:firstLine="709"/>
        <w:jc w:val="both"/>
        <w:rPr>
          <w:sz w:val="28"/>
          <w:szCs w:val="28"/>
        </w:rPr>
      </w:pPr>
      <w:r>
        <w:rPr>
          <w:sz w:val="28"/>
          <w:szCs w:val="28"/>
        </w:rPr>
        <w:t>медицинские профилактические осмотры обучающихся;</w:t>
      </w:r>
    </w:p>
    <w:p w:rsidR="00DC1467" w:rsidRDefault="00B70D3E">
      <w:pPr>
        <w:pStyle w:val="af5"/>
        <w:spacing w:after="0" w:line="276" w:lineRule="auto"/>
        <w:ind w:firstLine="709"/>
        <w:jc w:val="both"/>
        <w:rPr>
          <w:sz w:val="28"/>
          <w:szCs w:val="28"/>
        </w:rPr>
      </w:pPr>
      <w:r>
        <w:rPr>
          <w:sz w:val="28"/>
          <w:szCs w:val="28"/>
        </w:rPr>
        <w:t>предварительные, периодические и профилактические медицинские осмотры работающего населения;</w:t>
      </w:r>
    </w:p>
    <w:p w:rsidR="00DC1467" w:rsidRDefault="00B70D3E">
      <w:pPr>
        <w:pStyle w:val="af5"/>
        <w:spacing w:after="0" w:line="276" w:lineRule="auto"/>
        <w:ind w:firstLine="709"/>
        <w:jc w:val="both"/>
        <w:rPr>
          <w:sz w:val="28"/>
          <w:szCs w:val="28"/>
        </w:rPr>
      </w:pPr>
      <w:r>
        <w:rPr>
          <w:sz w:val="28"/>
          <w:szCs w:val="28"/>
        </w:rPr>
        <w:t>принятие правовых мер в отношении лиц, употребляющих наркотические средства и психотропные вещества без назначения врача.</w:t>
      </w:r>
    </w:p>
    <w:p w:rsidR="00DC1467" w:rsidRDefault="00B70D3E">
      <w:pPr>
        <w:pStyle w:val="af5"/>
        <w:spacing w:after="0" w:line="276" w:lineRule="auto"/>
        <w:ind w:firstLine="709"/>
        <w:jc w:val="both"/>
        <w:rPr>
          <w:sz w:val="28"/>
          <w:szCs w:val="28"/>
        </w:rPr>
      </w:pPr>
      <w:r>
        <w:rPr>
          <w:sz w:val="28"/>
          <w:szCs w:val="28"/>
        </w:rPr>
        <w:t>Эти меры способствуют созданию среды, в которой раннее выявление и предотвращение наркопотребления становятся более эффективными.</w:t>
      </w:r>
    </w:p>
    <w:p w:rsidR="00DC1467" w:rsidRDefault="00B70D3E">
      <w:pPr>
        <w:pStyle w:val="af5"/>
        <w:spacing w:after="0" w:line="276" w:lineRule="auto"/>
        <w:ind w:firstLine="709"/>
        <w:jc w:val="both"/>
        <w:rPr>
          <w:sz w:val="28"/>
          <w:szCs w:val="28"/>
        </w:rPr>
      </w:pPr>
      <w:r>
        <w:rPr>
          <w:sz w:val="28"/>
          <w:szCs w:val="28"/>
        </w:rPr>
        <w:t>На п</w:t>
      </w:r>
      <w:r>
        <w:rPr>
          <w:sz w:val="28"/>
          <w:szCs w:val="28"/>
        </w:rPr>
        <w:t>овышение выявляемости несовершеннолетних наркопотребителей на ранних стадиях, когда зависимость ещё не сформировалась, влияет несколько ключевых факторов:</w:t>
      </w:r>
    </w:p>
    <w:p w:rsidR="00DC1467" w:rsidRDefault="00B70D3E">
      <w:pPr>
        <w:pStyle w:val="af5"/>
        <w:spacing w:after="0" w:line="276" w:lineRule="auto"/>
        <w:ind w:firstLine="709"/>
        <w:jc w:val="both"/>
        <w:rPr>
          <w:sz w:val="28"/>
          <w:szCs w:val="28"/>
        </w:rPr>
      </w:pPr>
      <w:r>
        <w:rPr>
          <w:sz w:val="28"/>
          <w:szCs w:val="28"/>
        </w:rPr>
        <w:t>в таких городах, как Сургут, Нефтеюганск, Нижневартовск, Лангепас, Радужный и Урай, функционируют нар</w:t>
      </w:r>
      <w:r>
        <w:rPr>
          <w:sz w:val="28"/>
          <w:szCs w:val="28"/>
        </w:rPr>
        <w:t>кологические кабинеты, специально предназначенные для обслуживания детско-подросткового населения;</w:t>
      </w:r>
    </w:p>
    <w:p w:rsidR="00DC1467" w:rsidRDefault="00B70D3E">
      <w:pPr>
        <w:pStyle w:val="af5"/>
        <w:spacing w:after="0" w:line="276" w:lineRule="auto"/>
        <w:ind w:firstLine="709"/>
        <w:jc w:val="both"/>
        <w:rPr>
          <w:sz w:val="28"/>
          <w:szCs w:val="28"/>
        </w:rPr>
      </w:pPr>
      <w:r>
        <w:rPr>
          <w:sz w:val="28"/>
          <w:szCs w:val="28"/>
        </w:rPr>
        <w:t xml:space="preserve">в психоневрологических больницах функционируют кабинеты медико-психологического консультирования и медико-психологической помощи для детского населения, что </w:t>
      </w:r>
      <w:r>
        <w:rPr>
          <w:sz w:val="28"/>
          <w:szCs w:val="28"/>
        </w:rPr>
        <w:t>способствует раннему выявлению и поддержке подростков.</w:t>
      </w:r>
    </w:p>
    <w:p w:rsidR="00DC1467" w:rsidRDefault="00B70D3E">
      <w:pPr>
        <w:pStyle w:val="af5"/>
        <w:spacing w:after="0" w:line="276" w:lineRule="auto"/>
        <w:ind w:firstLine="709"/>
        <w:jc w:val="both"/>
        <w:rPr>
          <w:sz w:val="28"/>
          <w:szCs w:val="28"/>
        </w:rPr>
      </w:pPr>
      <w:r>
        <w:rPr>
          <w:sz w:val="28"/>
          <w:szCs w:val="28"/>
        </w:rPr>
        <w:t>В указанных городах заключены соглашения о взаимодействии между различными учреждениями и ведомствами, а также комиссиями по делам несовершеннолетних. Это сотрудничество позволяет эффективно осуществля</w:t>
      </w:r>
      <w:r>
        <w:rPr>
          <w:sz w:val="28"/>
          <w:szCs w:val="28"/>
        </w:rPr>
        <w:t>ть профилактику наркотизации, соблюдая правовые нормы.</w:t>
      </w:r>
    </w:p>
    <w:p w:rsidR="00DC1467" w:rsidRDefault="00B70D3E">
      <w:pPr>
        <w:pStyle w:val="af5"/>
        <w:spacing w:after="0" w:line="276" w:lineRule="auto"/>
        <w:ind w:firstLine="709"/>
        <w:jc w:val="both"/>
        <w:rPr>
          <w:sz w:val="28"/>
          <w:szCs w:val="28"/>
        </w:rPr>
      </w:pPr>
      <w:r>
        <w:rPr>
          <w:sz w:val="28"/>
          <w:szCs w:val="28"/>
        </w:rPr>
        <w:t>Таким образом, перечисленные меры способствовали улучшению диагностики и выявлению потребителей наркотиков среди несовершеннолетних, фактически на этапе первого опыта употребления.</w:t>
      </w:r>
    </w:p>
    <w:p w:rsidR="00DC1467" w:rsidRDefault="00DC1467">
      <w:pPr>
        <w:spacing w:line="276" w:lineRule="auto"/>
        <w:ind w:firstLine="709"/>
        <w:rPr>
          <w:b/>
          <w:highlight w:val="yellow"/>
        </w:rPr>
      </w:pPr>
    </w:p>
    <w:p w:rsidR="00DC1467" w:rsidRDefault="00B70D3E">
      <w:pPr>
        <w:spacing w:line="276" w:lineRule="auto"/>
        <w:ind w:firstLine="709"/>
        <w:rPr>
          <w:b/>
          <w:i/>
        </w:rPr>
      </w:pPr>
      <w:r>
        <w:rPr>
          <w:b/>
          <w:i/>
        </w:rPr>
        <w:t>Анализ (оценка и ди</w:t>
      </w:r>
      <w:r>
        <w:rPr>
          <w:b/>
          <w:i/>
        </w:rPr>
        <w:t>намика) уровня и структуры потребления наркотиков в немедицинских целях на основании социологических исследований</w:t>
      </w:r>
    </w:p>
    <w:p w:rsidR="00DC1467" w:rsidRDefault="00B70D3E">
      <w:pPr>
        <w:spacing w:line="276" w:lineRule="auto"/>
        <w:ind w:firstLine="709"/>
      </w:pPr>
      <w:bookmarkStart w:id="2" w:name="_Toc89357214"/>
      <w:r>
        <w:t xml:space="preserve">Полевой этап социологического исследования в рамках мониторинга наркоситуации в Ханты-Мансийском автономном округе – Югре проводился в ноябре </w:t>
      </w:r>
      <w:r>
        <w:t xml:space="preserve">2024 года на территории 22 муниципальных образований автономного округа методом стандартизированного интервью. Опрошено 1700 респондентов в возрасте 14-60 лет. Основной метод: личное интервью </w:t>
      </w:r>
      <w:r>
        <w:rPr>
          <w:lang w:val="en-US"/>
        </w:rPr>
        <w:t>face</w:t>
      </w:r>
      <w:r>
        <w:t>-</w:t>
      </w:r>
      <w:r>
        <w:rPr>
          <w:lang w:val="en-US"/>
        </w:rPr>
        <w:t>to</w:t>
      </w:r>
      <w:r>
        <w:t>-</w:t>
      </w:r>
      <w:r>
        <w:rPr>
          <w:lang w:val="en-US"/>
        </w:rPr>
        <w:t>face</w:t>
      </w:r>
      <w:r>
        <w:rPr>
          <w:color w:val="000000" w:themeColor="text1"/>
        </w:rPr>
        <w:t xml:space="preserve"> по заданному маршруту по месту жительства респонден</w:t>
      </w:r>
      <w:r>
        <w:rPr>
          <w:color w:val="000000" w:themeColor="text1"/>
        </w:rPr>
        <w:t>тов</w:t>
      </w:r>
      <w:r>
        <w:t xml:space="preserve"> с использованием маршрутной выборки и квот (пол, возраст). </w:t>
      </w:r>
    </w:p>
    <w:p w:rsidR="00DC1467" w:rsidRDefault="00B70D3E">
      <w:pPr>
        <w:spacing w:line="276" w:lineRule="auto"/>
        <w:ind w:firstLine="709"/>
      </w:pPr>
      <w:r>
        <w:t xml:space="preserve">По результатам исследования зафиксирована позитивная динамика в показателе «острота проблемы» наркомании для населения – улучшение показателя на 6 п.п. В 2024 году доля указывающих наркоманию </w:t>
      </w:r>
      <w:r>
        <w:t xml:space="preserve">в качестве остросоциальной проблемы составила 20,6 % (в 2023 г. – 26,6 %), алкоголизм – 24,1 % (в 2023 г. – 26,1%). </w:t>
      </w:r>
    </w:p>
    <w:p w:rsidR="00DC1467" w:rsidRDefault="00B70D3E">
      <w:pPr>
        <w:spacing w:line="276" w:lineRule="auto"/>
        <w:ind w:firstLine="709"/>
      </w:pPr>
      <w:r>
        <w:t>Примечательно, что улучшение этого показателя сопровождается ростом оценки удовлетворенности возможностями интересно проводить свое свободн</w:t>
      </w:r>
      <w:r>
        <w:t xml:space="preserve">ое время в населенном пункте (увеличение на 3,9 п.п.). В 2024 году более половины опрошенных (57,5 %) посчитали, что возможностей в целом достаточно, чтобы интересно проводить свободное время (в 2023 г. – 53,6 %). </w:t>
      </w:r>
    </w:p>
    <w:p w:rsidR="00DC1467" w:rsidRDefault="00B70D3E">
      <w:pPr>
        <w:spacing w:line="276" w:lineRule="auto"/>
        <w:ind w:firstLine="709"/>
      </w:pPr>
      <w:r>
        <w:t>Тем не менее, проблема наркомании занимае</w:t>
      </w:r>
      <w:r>
        <w:t>т приоритетную позицию в списке наиболее острых проблем, требующих решения в первую очередь. 18,4 % опрошенных считают наркоманию широко распространенной. Оценивая серьезность наркомании для российского общества, большинство респондентов (59,9 %) считают е</w:t>
      </w:r>
      <w:r>
        <w:t>е серьезной проблемой для страны в целом.</w:t>
      </w:r>
    </w:p>
    <w:p w:rsidR="00DC1467" w:rsidRDefault="00B70D3E">
      <w:pPr>
        <w:spacing w:line="276" w:lineRule="auto"/>
        <w:ind w:firstLine="709"/>
      </w:pPr>
      <w:r>
        <w:t>Главным источником информации о проблеме наркомании в России большинство респондентов (55,5 %) назвали СМИ и сеть Интернет. Четверть опрошенных (25,8 %) указывают на опыт друзей и знакомых. 18,5 % респондентов отме</w:t>
      </w:r>
      <w:r>
        <w:t xml:space="preserve">чают личный опыт как источник информации о проблеме наркомании. </w:t>
      </w:r>
    </w:p>
    <w:p w:rsidR="00DC1467" w:rsidRDefault="00B70D3E">
      <w:pPr>
        <w:spacing w:line="276" w:lineRule="auto"/>
        <w:ind w:firstLine="709"/>
      </w:pPr>
      <w:r>
        <w:t>При рассмотрении причин распространения наркомании большинство респондентов выделяют как лидирующие – «моральную деградацию общества и вседозволенность» и «неудовлетворенность жизнью и социал</w:t>
      </w:r>
      <w:r>
        <w:t xml:space="preserve">ьное неблагополучие». Еще 30,8 % опрошенных выделили доступность наркотиков. </w:t>
      </w:r>
    </w:p>
    <w:p w:rsidR="00DC1467" w:rsidRDefault="00B70D3E">
      <w:pPr>
        <w:spacing w:line="276" w:lineRule="auto"/>
        <w:ind w:firstLine="709"/>
      </w:pPr>
      <w:r>
        <w:t xml:space="preserve">Выявление степени доступности наркотиков показало, что половина респондентов считают наркотики доступными и их в целом легко достать. </w:t>
      </w:r>
    </w:p>
    <w:p w:rsidR="00DC1467" w:rsidRDefault="00B70D3E">
      <w:pPr>
        <w:spacing w:line="276" w:lineRule="auto"/>
        <w:ind w:firstLine="709"/>
      </w:pPr>
      <w:r>
        <w:t>Доминирующая часть респондентов (85,7 %) от</w:t>
      </w:r>
      <w:r>
        <w:t xml:space="preserve">рицает свое общение с лицами, употребляющими наркотики. В целом у 14,3 % респондентов есть в кругу общения такие люди. </w:t>
      </w:r>
    </w:p>
    <w:p w:rsidR="00DC1467" w:rsidRDefault="00B70D3E">
      <w:pPr>
        <w:spacing w:line="276" w:lineRule="auto"/>
        <w:ind w:firstLine="709"/>
      </w:pPr>
      <w:r>
        <w:t xml:space="preserve">Самый главный фактор, сдерживающий от употребления наркотиков, по мнению опрошенных – осознанное отрицательное отношение к употреблению </w:t>
      </w:r>
      <w:r>
        <w:t xml:space="preserve">наркотиков. Примечательно, что этот показатель имеет устойчивую положительную динамику с 2022 года (в 2024 г. – 74,6 %, в </w:t>
      </w:r>
      <w:r>
        <w:br/>
        <w:t xml:space="preserve">2023 г. – 72 %, в 2022 – 69,2 %). </w:t>
      </w:r>
    </w:p>
    <w:p w:rsidR="00DC1467" w:rsidRDefault="00B70D3E">
      <w:pPr>
        <w:spacing w:line="276" w:lineRule="auto"/>
        <w:ind w:firstLine="709"/>
      </w:pPr>
      <w:r>
        <w:t>Уверенную информированность об ответственности, предусмотренной законодательством за употребление,</w:t>
      </w:r>
      <w:r>
        <w:t xml:space="preserve"> хранение и сбыт наркотических веществ, имеют 43,5% респондентов. Слабую информированность или ее отсутствие продемонстрировали 15,2 % и 7,9 % соответственно. </w:t>
      </w:r>
    </w:p>
    <w:p w:rsidR="00DC1467" w:rsidRDefault="00B70D3E">
      <w:pPr>
        <w:spacing w:line="276" w:lineRule="auto"/>
        <w:ind w:firstLine="709"/>
      </w:pPr>
      <w:r>
        <w:t>По результатам исследования 32,5 % респондентов ответили положительно на вопрос, предлагались ли</w:t>
      </w:r>
      <w:r>
        <w:t xml:space="preserve"> им наркотики. Отрицательно на данный вопрос ответили 66,8% опрошенных. </w:t>
      </w:r>
    </w:p>
    <w:p w:rsidR="00DC1467" w:rsidRDefault="00B70D3E">
      <w:pPr>
        <w:spacing w:line="276" w:lineRule="auto"/>
        <w:ind w:firstLine="709"/>
      </w:pPr>
      <w:r>
        <w:t xml:space="preserve">94,5 % респондентов не пробовали наркотические вещества, 5,5 % респондентов на соответствующий вопрос ответили положительно. </w:t>
      </w:r>
    </w:p>
    <w:p w:rsidR="00DC1467" w:rsidRDefault="00B70D3E">
      <w:pPr>
        <w:spacing w:line="276" w:lineRule="auto"/>
        <w:ind w:firstLine="709"/>
      </w:pPr>
      <w:r>
        <w:t>Исследование выявило пользующиеся спросом наркотические в</w:t>
      </w:r>
      <w:r>
        <w:t xml:space="preserve">ещества: марихуана (40 %), гашиш (26,7 %), мефедрон (26,7 %) и метамфетамин (13,3 %). </w:t>
      </w:r>
    </w:p>
    <w:p w:rsidR="00DC1467" w:rsidRDefault="00B70D3E">
      <w:pPr>
        <w:spacing w:line="276" w:lineRule="auto"/>
        <w:ind w:firstLine="709"/>
        <w:rPr>
          <w:iCs/>
        </w:rPr>
      </w:pPr>
      <w:r>
        <w:rPr>
          <w:iCs/>
        </w:rPr>
        <w:t xml:space="preserve">Результаты проведенного социологического исследования дают основание сделать следующие выводы. </w:t>
      </w:r>
    </w:p>
    <w:p w:rsidR="00DC1467" w:rsidRDefault="00B70D3E">
      <w:pPr>
        <w:spacing w:line="276" w:lineRule="auto"/>
        <w:ind w:firstLine="709"/>
      </w:pPr>
      <w:r>
        <w:t>Как и в предыдущие годы, на первый план у опрошенных жителей региона выхо</w:t>
      </w:r>
      <w:r>
        <w:t xml:space="preserve">дят проблемы социально-экономического характера. При этом социальная болезнь общества – наркомания – беспокоит население несколько в меньшей степени, чем проблемы материального благополучия, но и она не теряет своей актуальности. </w:t>
      </w:r>
    </w:p>
    <w:p w:rsidR="00DC1467" w:rsidRDefault="00B70D3E">
      <w:pPr>
        <w:spacing w:line="276" w:lineRule="auto"/>
        <w:ind w:firstLine="709"/>
      </w:pPr>
      <w:r>
        <w:t>Во-вторых, большинство ре</w:t>
      </w:r>
      <w:r>
        <w:t>спондентов демонстрируют устойчивую позитивную мотивацию и приверженность традиционной системе жизненных ценностей, отвергая саму мысль о наркотиках. Половина опрошенных полагает, что по месту жительства имеется достаточно возможностей для проведения интер</w:t>
      </w:r>
      <w:r>
        <w:t xml:space="preserve">есного досуга. Однако в связи со сложным материальным положением значительная часть респондентов далеко не всегда может ими воспользоваться. </w:t>
      </w:r>
    </w:p>
    <w:p w:rsidR="00DC1467" w:rsidRDefault="00B70D3E">
      <w:pPr>
        <w:spacing w:line="276" w:lineRule="auto"/>
        <w:ind w:firstLine="709"/>
      </w:pPr>
      <w:r>
        <w:t xml:space="preserve">В-третьих, довольно большая часть респондентов полагает, что приобрести наркотики на территории муниципалитета не </w:t>
      </w:r>
      <w:r>
        <w:t xml:space="preserve">представляет особого труда. Результаты исследования подтвердили, что употребление наркотиков в значительном количестве случаев носит компенсаторный характер – ради получения определенных эмоций и удовлетворения собственного любопытства. </w:t>
      </w:r>
    </w:p>
    <w:p w:rsidR="00DC1467" w:rsidRDefault="00B70D3E">
      <w:pPr>
        <w:spacing w:line="276" w:lineRule="auto"/>
        <w:ind w:firstLine="709"/>
      </w:pPr>
      <w:r>
        <w:t>Результаты исследования подтверждают: значимой социальной базы наркомании в региональном социуме нет. Подавляющая часть населения негативно относится к наркотикам и лицам их употребляющим. Вместе с тем требуется профилактирование и дополнительное информиро</w:t>
      </w:r>
      <w:r>
        <w:t xml:space="preserve">вание населения о мерах наказания за употребление, хранение и сбыт наркотических средств. </w:t>
      </w:r>
    </w:p>
    <w:p w:rsidR="00DC1467" w:rsidRDefault="00B70D3E">
      <w:pPr>
        <w:spacing w:line="276" w:lineRule="auto"/>
        <w:ind w:firstLine="709"/>
      </w:pPr>
      <w:r>
        <w:t>По результатам социологического опроса в 2024 году осуществлен расчет показателя «Оценочная распространенность употребления наркотиков»</w:t>
      </w:r>
      <w:bookmarkEnd w:id="2"/>
      <w:r>
        <w:t xml:space="preserve"> (см. табл. 3). Расчет произве</w:t>
      </w:r>
      <w:r>
        <w:t xml:space="preserve">ден по формуле: </w:t>
      </w:r>
    </w:p>
    <w:p w:rsidR="00DC1467" w:rsidRDefault="00DC1467">
      <w:pPr>
        <w:spacing w:line="240" w:lineRule="auto"/>
        <w:ind w:firstLine="709"/>
        <w:rPr>
          <w:sz w:val="20"/>
          <w:szCs w:val="20"/>
        </w:rPr>
      </w:pPr>
    </w:p>
    <w:p w:rsidR="00DC1467" w:rsidRDefault="00DC1467">
      <w:pPr>
        <w:spacing w:line="240" w:lineRule="auto"/>
        <w:ind w:firstLine="0"/>
        <w:contextualSpacing/>
        <w:jc w:val="center"/>
        <w:rPr>
          <w:sz w:val="2"/>
          <w:szCs w:val="2"/>
        </w:rPr>
      </w:pPr>
    </w:p>
    <w:p w:rsidR="00DC1467" w:rsidRDefault="00B70D3E">
      <w:pPr>
        <w:spacing w:line="240" w:lineRule="auto"/>
        <w:ind w:firstLine="0"/>
        <w:contextualSpacing/>
        <w:jc w:val="center"/>
      </w:pPr>
      <w:r>
        <w:rPr>
          <w:lang w:val="en-US"/>
        </w:rPr>
        <w:t>M</w:t>
      </w:r>
      <w:r>
        <w:t xml:space="preserve"> = </w:t>
      </w:r>
      <w:r>
        <w:rPr>
          <w:lang w:val="en-US"/>
        </w:rPr>
        <w:t>Snp</w:t>
      </w:r>
      <w:r>
        <w:t xml:space="preserve"> *100/</w:t>
      </w:r>
      <w:r>
        <w:rPr>
          <w:lang w:val="en-US"/>
        </w:rPr>
        <w:t>So</w:t>
      </w:r>
    </w:p>
    <w:p w:rsidR="00DC1467" w:rsidRDefault="00B70D3E">
      <w:pPr>
        <w:spacing w:line="240" w:lineRule="auto"/>
        <w:ind w:firstLine="0"/>
        <w:contextualSpacing/>
        <w:rPr>
          <w:sz w:val="20"/>
          <w:szCs w:val="20"/>
        </w:rPr>
      </w:pPr>
      <w:r>
        <w:rPr>
          <w:sz w:val="20"/>
          <w:szCs w:val="20"/>
        </w:rPr>
        <w:t xml:space="preserve">где </w:t>
      </w:r>
    </w:p>
    <w:p w:rsidR="00DC1467" w:rsidRDefault="00B70D3E">
      <w:pPr>
        <w:spacing w:line="240" w:lineRule="auto"/>
        <w:ind w:firstLine="708"/>
        <w:rPr>
          <w:sz w:val="20"/>
          <w:szCs w:val="20"/>
        </w:rPr>
      </w:pPr>
      <w:r>
        <w:rPr>
          <w:sz w:val="20"/>
          <w:szCs w:val="20"/>
          <w:lang w:val="en-US"/>
        </w:rPr>
        <w:t>Snp</w:t>
      </w:r>
      <w:r>
        <w:rPr>
          <w:sz w:val="20"/>
          <w:szCs w:val="20"/>
        </w:rPr>
        <w:t xml:space="preserve"> = </w:t>
      </w:r>
      <w:r>
        <w:rPr>
          <w:sz w:val="20"/>
          <w:szCs w:val="20"/>
          <w:lang w:val="en-US"/>
        </w:rPr>
        <w:t>O</w:t>
      </w:r>
      <w:r>
        <w:rPr>
          <w:sz w:val="20"/>
          <w:szCs w:val="20"/>
        </w:rPr>
        <w:t>1+</w:t>
      </w:r>
      <w:r>
        <w:rPr>
          <w:sz w:val="20"/>
          <w:szCs w:val="20"/>
          <w:lang w:val="en-US"/>
        </w:rPr>
        <w:t>O</w:t>
      </w:r>
      <w:r>
        <w:rPr>
          <w:sz w:val="20"/>
          <w:szCs w:val="20"/>
        </w:rPr>
        <w:t>2+</w:t>
      </w:r>
      <w:r>
        <w:rPr>
          <w:sz w:val="20"/>
          <w:szCs w:val="20"/>
          <w:lang w:val="en-US"/>
        </w:rPr>
        <w:t>O</w:t>
      </w:r>
      <w:r>
        <w:rPr>
          <w:sz w:val="20"/>
          <w:szCs w:val="20"/>
        </w:rPr>
        <w:t>3+</w:t>
      </w:r>
      <w:r>
        <w:rPr>
          <w:sz w:val="20"/>
          <w:szCs w:val="20"/>
          <w:lang w:val="en-US"/>
        </w:rPr>
        <w:t>O</w:t>
      </w:r>
      <w:r>
        <w:rPr>
          <w:sz w:val="20"/>
          <w:szCs w:val="20"/>
        </w:rPr>
        <w:t xml:space="preserve">4 </w:t>
      </w:r>
    </w:p>
    <w:p w:rsidR="00DC1467" w:rsidRDefault="00B70D3E">
      <w:pPr>
        <w:spacing w:line="240" w:lineRule="auto"/>
        <w:ind w:firstLine="708"/>
        <w:rPr>
          <w:sz w:val="20"/>
          <w:szCs w:val="20"/>
        </w:rPr>
      </w:pPr>
      <w:r>
        <w:rPr>
          <w:sz w:val="20"/>
          <w:szCs w:val="20"/>
          <w:lang w:val="en-US"/>
        </w:rPr>
        <w:t>M</w:t>
      </w:r>
      <w:r>
        <w:rPr>
          <w:sz w:val="20"/>
          <w:szCs w:val="20"/>
        </w:rPr>
        <w:t xml:space="preserve"> – оценочная распространённость употребления наркотиков (по данным социологических исследований); </w:t>
      </w:r>
    </w:p>
    <w:p w:rsidR="00DC1467" w:rsidRDefault="00B70D3E">
      <w:pPr>
        <w:spacing w:line="240" w:lineRule="auto"/>
        <w:ind w:firstLine="708"/>
        <w:rPr>
          <w:sz w:val="20"/>
          <w:szCs w:val="20"/>
        </w:rPr>
      </w:pPr>
      <w:r>
        <w:rPr>
          <w:sz w:val="20"/>
          <w:szCs w:val="20"/>
          <w:lang w:val="en-US"/>
        </w:rPr>
        <w:t>So</w:t>
      </w:r>
      <w:r>
        <w:rPr>
          <w:sz w:val="20"/>
          <w:szCs w:val="20"/>
        </w:rPr>
        <w:t xml:space="preserve"> – общее число респондентов, опрошенных в рамках проведения социологического исследования; </w:t>
      </w:r>
    </w:p>
    <w:p w:rsidR="00DC1467" w:rsidRDefault="00B70D3E">
      <w:pPr>
        <w:spacing w:line="240" w:lineRule="auto"/>
        <w:ind w:firstLine="708"/>
        <w:rPr>
          <w:bCs/>
          <w:sz w:val="20"/>
          <w:szCs w:val="20"/>
        </w:rPr>
      </w:pPr>
      <w:r>
        <w:rPr>
          <w:sz w:val="20"/>
          <w:szCs w:val="20"/>
          <w:lang w:val="en-US"/>
        </w:rPr>
        <w:t>Snp</w:t>
      </w:r>
      <w:r>
        <w:rPr>
          <w:sz w:val="20"/>
          <w:szCs w:val="20"/>
        </w:rPr>
        <w:t xml:space="preserve"> – общее число респондентов, положительно ответивших на вопрос </w:t>
      </w:r>
      <w:r>
        <w:rPr>
          <w:rFonts w:eastAsia="Lucida Sans Unicode"/>
          <w:sz w:val="20"/>
          <w:szCs w:val="20"/>
          <w:lang w:eastAsia="ar-SA"/>
        </w:rPr>
        <w:t>№ 27</w:t>
      </w:r>
      <w:r>
        <w:rPr>
          <w:sz w:val="20"/>
          <w:szCs w:val="20"/>
        </w:rPr>
        <w:t>: «Как часто Вы употребляете наркотики?» (пункты 2, 3, 4, 5) Приложения № 2 к Методике. (</w:t>
      </w:r>
      <w:r>
        <w:rPr>
          <w:bCs/>
          <w:sz w:val="20"/>
          <w:szCs w:val="20"/>
        </w:rPr>
        <w:t>Образец анкеты для проведения массового опроса населения);</w:t>
      </w:r>
    </w:p>
    <w:p w:rsidR="00DC1467" w:rsidRDefault="00B70D3E">
      <w:pPr>
        <w:widowControl w:val="0"/>
        <w:spacing w:line="240" w:lineRule="auto"/>
        <w:ind w:firstLine="708"/>
        <w:rPr>
          <w:rFonts w:eastAsia="Lucida Sans Unicode"/>
          <w:color w:val="000000"/>
          <w:sz w:val="20"/>
          <w:szCs w:val="20"/>
          <w:lang w:eastAsia="ar-SA"/>
        </w:rPr>
      </w:pPr>
      <w:r>
        <w:rPr>
          <w:rFonts w:eastAsia="Lucida Sans Unicode"/>
          <w:sz w:val="20"/>
          <w:szCs w:val="20"/>
          <w:lang w:val="en-US" w:eastAsia="ar-SA"/>
        </w:rPr>
        <w:t>O</w:t>
      </w:r>
      <w:r>
        <w:rPr>
          <w:rFonts w:eastAsia="Lucida Sans Unicode"/>
          <w:sz w:val="20"/>
          <w:szCs w:val="20"/>
          <w:lang w:eastAsia="ar-SA"/>
        </w:rPr>
        <w:t>1 – вариант ответа 2 вопроса: «</w:t>
      </w:r>
      <w:r>
        <w:rPr>
          <w:rFonts w:eastAsia="Lucida Sans Unicode"/>
          <w:color w:val="000000"/>
          <w:sz w:val="20"/>
          <w:szCs w:val="20"/>
          <w:lang w:eastAsia="ar-SA"/>
        </w:rPr>
        <w:t>Употребля</w:t>
      </w:r>
      <w:r>
        <w:rPr>
          <w:rFonts w:eastAsia="Lucida Sans Unicode"/>
          <w:color w:val="000000"/>
          <w:sz w:val="20"/>
          <w:szCs w:val="20"/>
          <w:lang w:eastAsia="ar-SA"/>
        </w:rPr>
        <w:t xml:space="preserve">ю редко (от случая к случаю, не каждый месяц)»; </w:t>
      </w:r>
    </w:p>
    <w:p w:rsidR="00DC1467" w:rsidRDefault="00B70D3E">
      <w:pPr>
        <w:widowControl w:val="0"/>
        <w:spacing w:line="240" w:lineRule="auto"/>
        <w:ind w:firstLine="708"/>
        <w:rPr>
          <w:rFonts w:eastAsia="Lucida Sans Unicode"/>
          <w:color w:val="000000"/>
          <w:sz w:val="20"/>
          <w:szCs w:val="20"/>
          <w:lang w:eastAsia="ar-SA"/>
        </w:rPr>
      </w:pPr>
      <w:r>
        <w:rPr>
          <w:rFonts w:eastAsia="Lucida Sans Unicode"/>
          <w:sz w:val="20"/>
          <w:szCs w:val="20"/>
          <w:lang w:val="en-US" w:eastAsia="ar-SA"/>
        </w:rPr>
        <w:t>O</w:t>
      </w:r>
      <w:r>
        <w:rPr>
          <w:rFonts w:eastAsia="Lucida Sans Unicode"/>
          <w:sz w:val="20"/>
          <w:szCs w:val="20"/>
          <w:lang w:eastAsia="ar-SA"/>
        </w:rPr>
        <w:t>2 – вариант ответа 3 вопроса: «</w:t>
      </w:r>
      <w:r>
        <w:rPr>
          <w:rFonts w:eastAsia="Lucida Sans Unicode"/>
          <w:color w:val="000000"/>
          <w:sz w:val="20"/>
          <w:szCs w:val="20"/>
          <w:lang w:eastAsia="ar-SA"/>
        </w:rPr>
        <w:t>Употребляю регулярно (раз в месяц и чаще)»;</w:t>
      </w:r>
    </w:p>
    <w:p w:rsidR="00DC1467" w:rsidRDefault="00B70D3E">
      <w:pPr>
        <w:widowControl w:val="0"/>
        <w:spacing w:line="240" w:lineRule="auto"/>
        <w:ind w:firstLine="708"/>
        <w:rPr>
          <w:rFonts w:eastAsia="Lucida Sans Unicode"/>
          <w:color w:val="000000"/>
          <w:sz w:val="20"/>
          <w:szCs w:val="20"/>
          <w:lang w:eastAsia="ar-SA"/>
        </w:rPr>
      </w:pPr>
      <w:r>
        <w:rPr>
          <w:rFonts w:eastAsia="Lucida Sans Unicode"/>
          <w:sz w:val="20"/>
          <w:szCs w:val="20"/>
          <w:lang w:val="en-US" w:eastAsia="ar-SA"/>
        </w:rPr>
        <w:t>O</w:t>
      </w:r>
      <w:r>
        <w:rPr>
          <w:rFonts w:eastAsia="Lucida Sans Unicode"/>
          <w:sz w:val="20"/>
          <w:szCs w:val="20"/>
          <w:lang w:eastAsia="ar-SA"/>
        </w:rPr>
        <w:t>3 – вариант ответа 4 вопроса: «</w:t>
      </w:r>
      <w:r>
        <w:rPr>
          <w:rFonts w:eastAsia="Lucida Sans Unicode"/>
          <w:color w:val="000000"/>
          <w:sz w:val="20"/>
          <w:szCs w:val="20"/>
          <w:lang w:eastAsia="ar-SA"/>
        </w:rPr>
        <w:t>Употребляю постоянно (несколько раз в неделю)»;</w:t>
      </w:r>
    </w:p>
    <w:p w:rsidR="00DC1467" w:rsidRDefault="00B70D3E">
      <w:pPr>
        <w:spacing w:line="240" w:lineRule="auto"/>
        <w:ind w:firstLine="360"/>
        <w:rPr>
          <w:rFonts w:eastAsia="Lucida Sans Unicode"/>
          <w:color w:val="000000"/>
          <w:sz w:val="20"/>
          <w:szCs w:val="20"/>
          <w:lang w:eastAsia="ar-SA"/>
        </w:rPr>
      </w:pPr>
      <w:r>
        <w:rPr>
          <w:rFonts w:eastAsia="Lucida Sans Unicode"/>
          <w:sz w:val="20"/>
          <w:szCs w:val="20"/>
          <w:lang w:val="en-US" w:eastAsia="ar-SA"/>
        </w:rPr>
        <w:t>O</w:t>
      </w:r>
      <w:r>
        <w:rPr>
          <w:rFonts w:eastAsia="Lucida Sans Unicode"/>
          <w:sz w:val="20"/>
          <w:szCs w:val="20"/>
          <w:lang w:eastAsia="ar-SA"/>
        </w:rPr>
        <w:t>4 – вариант ответа 5 вопроса: «</w:t>
      </w:r>
      <w:r>
        <w:rPr>
          <w:rFonts w:eastAsia="Lucida Sans Unicode"/>
          <w:color w:val="000000"/>
          <w:sz w:val="20"/>
          <w:szCs w:val="20"/>
          <w:lang w:eastAsia="ar-SA"/>
        </w:rPr>
        <w:t>Употребляю ежедневн</w:t>
      </w:r>
      <w:r>
        <w:rPr>
          <w:rFonts w:eastAsia="Lucida Sans Unicode"/>
          <w:color w:val="000000"/>
          <w:sz w:val="20"/>
          <w:szCs w:val="20"/>
          <w:lang w:eastAsia="ar-SA"/>
        </w:rPr>
        <w:t>о».</w:t>
      </w:r>
    </w:p>
    <w:p w:rsidR="00DC1467" w:rsidRDefault="00B70D3E">
      <w:pPr>
        <w:spacing w:line="276" w:lineRule="auto"/>
        <w:ind w:firstLine="0"/>
        <w:contextualSpacing/>
        <w:jc w:val="right"/>
      </w:pPr>
      <w:r>
        <w:t>Таблица 3</w:t>
      </w:r>
    </w:p>
    <w:p w:rsidR="00DC1467" w:rsidRDefault="00B70D3E">
      <w:pPr>
        <w:spacing w:line="276" w:lineRule="auto"/>
        <w:ind w:firstLine="0"/>
        <w:contextualSpacing/>
        <w:jc w:val="center"/>
        <w:rPr>
          <w:b/>
        </w:rPr>
      </w:pPr>
      <w:r>
        <w:rPr>
          <w:b/>
        </w:rPr>
        <w:t>Данные для расчета показателя «Оценочная распространённость употребления наркотиков», абсолютные числа</w:t>
      </w:r>
    </w:p>
    <w:tbl>
      <w:tblPr>
        <w:tblpPr w:leftFromText="180" w:rightFromText="180" w:vertAnchor="text" w:horzAnchor="page" w:tblpX="1122" w:tblpY="46"/>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57"/>
        <w:gridCol w:w="1233"/>
        <w:gridCol w:w="1134"/>
        <w:gridCol w:w="1275"/>
        <w:gridCol w:w="1138"/>
        <w:gridCol w:w="1237"/>
        <w:gridCol w:w="1169"/>
      </w:tblGrid>
      <w:tr w:rsidR="00DC1467">
        <w:trPr>
          <w:trHeight w:val="227"/>
        </w:trPr>
        <w:tc>
          <w:tcPr>
            <w:tcW w:w="3157" w:type="dxa"/>
            <w:vMerge w:val="restart"/>
            <w:shd w:val="clear" w:color="auto" w:fill="auto"/>
            <w:noWrap/>
            <w:vAlign w:val="center"/>
          </w:tcPr>
          <w:p w:rsidR="00DC1467" w:rsidRDefault="00B70D3E">
            <w:pPr>
              <w:spacing w:line="240" w:lineRule="auto"/>
              <w:ind w:firstLine="0"/>
              <w:jc w:val="center"/>
              <w:rPr>
                <w:sz w:val="24"/>
                <w:szCs w:val="24"/>
              </w:rPr>
            </w:pPr>
            <w:r>
              <w:rPr>
                <w:sz w:val="24"/>
                <w:szCs w:val="24"/>
              </w:rPr>
              <w:t>Периоды проведения исследования</w:t>
            </w:r>
          </w:p>
        </w:tc>
        <w:tc>
          <w:tcPr>
            <w:tcW w:w="1233" w:type="dxa"/>
            <w:vAlign w:val="center"/>
          </w:tcPr>
          <w:p w:rsidR="00DC1467" w:rsidRDefault="00B70D3E">
            <w:pPr>
              <w:spacing w:line="240" w:lineRule="auto"/>
              <w:ind w:firstLine="0"/>
              <w:jc w:val="center"/>
              <w:rPr>
                <w:b/>
                <w:color w:val="000000"/>
                <w:sz w:val="22"/>
                <w:szCs w:val="22"/>
              </w:rPr>
            </w:pPr>
            <w:r>
              <w:rPr>
                <w:b/>
                <w:color w:val="000000"/>
                <w:sz w:val="22"/>
                <w:szCs w:val="22"/>
                <w:lang w:val="en-US"/>
              </w:rPr>
              <w:t>202</w:t>
            </w:r>
            <w:r>
              <w:rPr>
                <w:b/>
                <w:color w:val="000000"/>
                <w:sz w:val="22"/>
                <w:szCs w:val="22"/>
              </w:rPr>
              <w:t>4</w:t>
            </w:r>
            <w:r>
              <w:rPr>
                <w:b/>
                <w:color w:val="000000"/>
                <w:sz w:val="22"/>
                <w:szCs w:val="22"/>
                <w:lang w:val="en-US"/>
              </w:rPr>
              <w:t xml:space="preserve"> </w:t>
            </w:r>
            <w:r>
              <w:rPr>
                <w:b/>
                <w:color w:val="000000"/>
                <w:sz w:val="22"/>
                <w:szCs w:val="22"/>
              </w:rPr>
              <w:t>год</w:t>
            </w:r>
          </w:p>
        </w:tc>
        <w:tc>
          <w:tcPr>
            <w:tcW w:w="1134" w:type="dxa"/>
            <w:vAlign w:val="center"/>
          </w:tcPr>
          <w:p w:rsidR="00DC1467" w:rsidRDefault="00B70D3E">
            <w:pPr>
              <w:spacing w:line="240" w:lineRule="auto"/>
              <w:ind w:firstLine="0"/>
              <w:jc w:val="center"/>
              <w:rPr>
                <w:b/>
                <w:color w:val="000000"/>
                <w:sz w:val="22"/>
                <w:szCs w:val="22"/>
              </w:rPr>
            </w:pPr>
            <w:r>
              <w:rPr>
                <w:b/>
                <w:color w:val="000000"/>
                <w:sz w:val="22"/>
                <w:szCs w:val="22"/>
                <w:lang w:val="en-US"/>
              </w:rPr>
              <w:t xml:space="preserve">2023 </w:t>
            </w:r>
            <w:r>
              <w:rPr>
                <w:b/>
                <w:color w:val="000000"/>
                <w:sz w:val="22"/>
                <w:szCs w:val="22"/>
              </w:rPr>
              <w:t>год</w:t>
            </w:r>
          </w:p>
        </w:tc>
        <w:tc>
          <w:tcPr>
            <w:tcW w:w="1275" w:type="dxa"/>
            <w:vAlign w:val="center"/>
          </w:tcPr>
          <w:p w:rsidR="00DC1467" w:rsidRDefault="00B70D3E">
            <w:pPr>
              <w:spacing w:line="240" w:lineRule="auto"/>
              <w:ind w:firstLine="0"/>
              <w:jc w:val="center"/>
              <w:rPr>
                <w:b/>
                <w:color w:val="000000"/>
                <w:sz w:val="22"/>
                <w:szCs w:val="22"/>
              </w:rPr>
            </w:pPr>
            <w:r>
              <w:rPr>
                <w:b/>
                <w:color w:val="000000"/>
                <w:sz w:val="22"/>
                <w:szCs w:val="22"/>
              </w:rPr>
              <w:t>2022 год</w:t>
            </w:r>
          </w:p>
        </w:tc>
        <w:tc>
          <w:tcPr>
            <w:tcW w:w="1138" w:type="dxa"/>
            <w:vAlign w:val="center"/>
          </w:tcPr>
          <w:p w:rsidR="00DC1467" w:rsidRDefault="00B70D3E">
            <w:pPr>
              <w:spacing w:line="240" w:lineRule="auto"/>
              <w:ind w:firstLine="0"/>
              <w:jc w:val="center"/>
              <w:rPr>
                <w:b/>
                <w:color w:val="000000"/>
                <w:sz w:val="22"/>
                <w:szCs w:val="22"/>
              </w:rPr>
            </w:pPr>
            <w:r>
              <w:rPr>
                <w:b/>
                <w:color w:val="000000"/>
                <w:sz w:val="22"/>
                <w:szCs w:val="22"/>
              </w:rPr>
              <w:t>2021 год</w:t>
            </w:r>
          </w:p>
        </w:tc>
        <w:tc>
          <w:tcPr>
            <w:tcW w:w="1237" w:type="dxa"/>
            <w:shd w:val="clear" w:color="auto" w:fill="auto"/>
            <w:noWrap/>
            <w:vAlign w:val="center"/>
          </w:tcPr>
          <w:p w:rsidR="00DC1467" w:rsidRDefault="00B70D3E">
            <w:pPr>
              <w:spacing w:line="240" w:lineRule="auto"/>
              <w:ind w:firstLine="0"/>
              <w:jc w:val="center"/>
              <w:rPr>
                <w:b/>
                <w:color w:val="000000"/>
                <w:sz w:val="22"/>
                <w:szCs w:val="22"/>
              </w:rPr>
            </w:pPr>
            <w:r>
              <w:rPr>
                <w:b/>
                <w:color w:val="000000"/>
                <w:sz w:val="22"/>
                <w:szCs w:val="22"/>
              </w:rPr>
              <w:t>2020 год</w:t>
            </w:r>
          </w:p>
        </w:tc>
        <w:tc>
          <w:tcPr>
            <w:tcW w:w="1169" w:type="dxa"/>
            <w:shd w:val="clear" w:color="auto" w:fill="auto"/>
            <w:noWrap/>
            <w:vAlign w:val="center"/>
          </w:tcPr>
          <w:p w:rsidR="00DC1467" w:rsidRDefault="00B70D3E">
            <w:pPr>
              <w:spacing w:line="240" w:lineRule="auto"/>
              <w:ind w:firstLine="0"/>
              <w:jc w:val="center"/>
              <w:rPr>
                <w:b/>
                <w:color w:val="000000"/>
                <w:sz w:val="22"/>
                <w:szCs w:val="22"/>
              </w:rPr>
            </w:pPr>
            <w:r>
              <w:rPr>
                <w:b/>
                <w:color w:val="000000"/>
                <w:sz w:val="22"/>
                <w:szCs w:val="22"/>
              </w:rPr>
              <w:t>2019 год</w:t>
            </w:r>
          </w:p>
        </w:tc>
      </w:tr>
      <w:tr w:rsidR="00DC1467">
        <w:trPr>
          <w:trHeight w:val="227"/>
        </w:trPr>
        <w:tc>
          <w:tcPr>
            <w:tcW w:w="3157" w:type="dxa"/>
            <w:vMerge/>
            <w:shd w:val="clear" w:color="auto" w:fill="auto"/>
            <w:noWrap/>
          </w:tcPr>
          <w:p w:rsidR="00DC1467" w:rsidRDefault="00DC1467">
            <w:pPr>
              <w:spacing w:line="240" w:lineRule="auto"/>
              <w:ind w:firstLine="0"/>
              <w:rPr>
                <w:color w:val="000000"/>
                <w:sz w:val="24"/>
                <w:szCs w:val="24"/>
              </w:rPr>
            </w:pPr>
          </w:p>
        </w:tc>
        <w:tc>
          <w:tcPr>
            <w:tcW w:w="1233" w:type="dxa"/>
          </w:tcPr>
          <w:p w:rsidR="00DC1467" w:rsidRDefault="00B70D3E">
            <w:pPr>
              <w:spacing w:line="240" w:lineRule="auto"/>
              <w:ind w:firstLine="0"/>
              <w:jc w:val="center"/>
              <w:rPr>
                <w:i/>
                <w:color w:val="000000"/>
                <w:sz w:val="22"/>
                <w:szCs w:val="22"/>
              </w:rPr>
            </w:pPr>
            <w:r>
              <w:rPr>
                <w:i/>
                <w:color w:val="000000"/>
                <w:sz w:val="22"/>
                <w:szCs w:val="22"/>
                <w:lang w:val="en-US"/>
              </w:rPr>
              <w:t>So</w:t>
            </w:r>
            <w:r>
              <w:rPr>
                <w:color w:val="000000"/>
                <w:sz w:val="22"/>
                <w:szCs w:val="22"/>
              </w:rPr>
              <w:t xml:space="preserve"> = 1700</w:t>
            </w:r>
          </w:p>
        </w:tc>
        <w:tc>
          <w:tcPr>
            <w:tcW w:w="1134" w:type="dxa"/>
          </w:tcPr>
          <w:p w:rsidR="00DC1467" w:rsidRDefault="00B70D3E">
            <w:pPr>
              <w:spacing w:line="240" w:lineRule="auto"/>
              <w:ind w:firstLine="0"/>
              <w:jc w:val="center"/>
              <w:rPr>
                <w:i/>
                <w:color w:val="000000"/>
                <w:sz w:val="22"/>
                <w:szCs w:val="22"/>
                <w:lang w:val="en-US"/>
              </w:rPr>
            </w:pPr>
            <w:r>
              <w:rPr>
                <w:i/>
                <w:color w:val="000000"/>
                <w:sz w:val="22"/>
                <w:szCs w:val="22"/>
                <w:lang w:val="en-US"/>
              </w:rPr>
              <w:t>So</w:t>
            </w:r>
            <w:r>
              <w:rPr>
                <w:color w:val="000000"/>
                <w:sz w:val="22"/>
                <w:szCs w:val="22"/>
              </w:rPr>
              <w:t xml:space="preserve"> = 17</w:t>
            </w:r>
            <w:r>
              <w:rPr>
                <w:color w:val="000000"/>
                <w:sz w:val="22"/>
                <w:szCs w:val="22"/>
                <w:lang w:val="en-US"/>
              </w:rPr>
              <w:t>1</w:t>
            </w:r>
            <w:r>
              <w:rPr>
                <w:color w:val="000000"/>
                <w:sz w:val="22"/>
                <w:szCs w:val="22"/>
              </w:rPr>
              <w:t>2</w:t>
            </w:r>
          </w:p>
        </w:tc>
        <w:tc>
          <w:tcPr>
            <w:tcW w:w="1275" w:type="dxa"/>
          </w:tcPr>
          <w:p w:rsidR="00DC1467" w:rsidRDefault="00B70D3E">
            <w:pPr>
              <w:spacing w:line="240" w:lineRule="auto"/>
              <w:ind w:firstLine="0"/>
              <w:jc w:val="center"/>
              <w:rPr>
                <w:i/>
                <w:color w:val="000000"/>
                <w:sz w:val="22"/>
                <w:szCs w:val="22"/>
                <w:lang w:val="en-US"/>
              </w:rPr>
            </w:pPr>
            <w:r>
              <w:rPr>
                <w:i/>
                <w:color w:val="000000"/>
                <w:sz w:val="22"/>
                <w:szCs w:val="22"/>
                <w:lang w:val="en-US"/>
              </w:rPr>
              <w:t>So</w:t>
            </w:r>
            <w:r>
              <w:rPr>
                <w:color w:val="000000"/>
                <w:sz w:val="22"/>
                <w:szCs w:val="22"/>
              </w:rPr>
              <w:t xml:space="preserve"> = 17</w:t>
            </w:r>
            <w:r>
              <w:rPr>
                <w:color w:val="000000"/>
                <w:sz w:val="22"/>
                <w:szCs w:val="22"/>
                <w:lang w:val="en-US"/>
              </w:rPr>
              <w:t>16</w:t>
            </w:r>
          </w:p>
        </w:tc>
        <w:tc>
          <w:tcPr>
            <w:tcW w:w="1138" w:type="dxa"/>
          </w:tcPr>
          <w:p w:rsidR="00DC1467" w:rsidRDefault="00B70D3E">
            <w:pPr>
              <w:spacing w:line="240" w:lineRule="auto"/>
              <w:ind w:firstLine="0"/>
              <w:jc w:val="center"/>
              <w:rPr>
                <w:i/>
                <w:color w:val="000000"/>
                <w:sz w:val="22"/>
                <w:szCs w:val="22"/>
                <w:lang w:val="en-US"/>
              </w:rPr>
            </w:pPr>
            <w:r>
              <w:rPr>
                <w:i/>
                <w:color w:val="000000"/>
                <w:sz w:val="22"/>
                <w:szCs w:val="22"/>
                <w:lang w:val="en-US"/>
              </w:rPr>
              <w:t>So</w:t>
            </w:r>
            <w:r>
              <w:rPr>
                <w:color w:val="000000"/>
                <w:sz w:val="22"/>
                <w:szCs w:val="22"/>
              </w:rPr>
              <w:t xml:space="preserve"> = 6622</w:t>
            </w:r>
          </w:p>
        </w:tc>
        <w:tc>
          <w:tcPr>
            <w:tcW w:w="1237" w:type="dxa"/>
            <w:shd w:val="clear" w:color="auto" w:fill="auto"/>
            <w:noWrap/>
          </w:tcPr>
          <w:p w:rsidR="00DC1467" w:rsidRDefault="00B70D3E">
            <w:pPr>
              <w:spacing w:line="240" w:lineRule="auto"/>
              <w:ind w:firstLine="0"/>
              <w:jc w:val="center"/>
              <w:rPr>
                <w:color w:val="000000"/>
                <w:sz w:val="22"/>
                <w:szCs w:val="22"/>
              </w:rPr>
            </w:pPr>
            <w:r>
              <w:rPr>
                <w:i/>
                <w:color w:val="000000"/>
                <w:sz w:val="22"/>
                <w:szCs w:val="22"/>
                <w:lang w:val="en-US"/>
              </w:rPr>
              <w:t>So</w:t>
            </w:r>
            <w:r>
              <w:rPr>
                <w:color w:val="000000"/>
                <w:sz w:val="22"/>
                <w:szCs w:val="22"/>
              </w:rPr>
              <w:t xml:space="preserve"> = 2007</w:t>
            </w:r>
          </w:p>
        </w:tc>
        <w:tc>
          <w:tcPr>
            <w:tcW w:w="1169" w:type="dxa"/>
            <w:shd w:val="clear" w:color="auto" w:fill="auto"/>
            <w:noWrap/>
          </w:tcPr>
          <w:p w:rsidR="00DC1467" w:rsidRDefault="00B70D3E">
            <w:pPr>
              <w:spacing w:line="240" w:lineRule="auto"/>
              <w:ind w:firstLine="0"/>
              <w:jc w:val="center"/>
              <w:rPr>
                <w:color w:val="000000"/>
                <w:sz w:val="22"/>
                <w:szCs w:val="22"/>
              </w:rPr>
            </w:pPr>
            <w:r>
              <w:rPr>
                <w:i/>
                <w:color w:val="000000"/>
                <w:sz w:val="22"/>
                <w:szCs w:val="22"/>
                <w:lang w:val="en-US"/>
              </w:rPr>
              <w:t>So</w:t>
            </w:r>
            <w:r>
              <w:rPr>
                <w:color w:val="000000"/>
                <w:sz w:val="22"/>
                <w:szCs w:val="22"/>
              </w:rPr>
              <w:t xml:space="preserve"> = 2056</w:t>
            </w:r>
          </w:p>
        </w:tc>
      </w:tr>
      <w:tr w:rsidR="00DC1467">
        <w:trPr>
          <w:trHeight w:val="227"/>
        </w:trPr>
        <w:tc>
          <w:tcPr>
            <w:tcW w:w="3157" w:type="dxa"/>
            <w:shd w:val="clear" w:color="auto" w:fill="auto"/>
            <w:vAlign w:val="center"/>
          </w:tcPr>
          <w:p w:rsidR="00DC1467" w:rsidRDefault="00B70D3E">
            <w:pPr>
              <w:spacing w:line="240" w:lineRule="auto"/>
              <w:ind w:firstLine="0"/>
              <w:jc w:val="left"/>
              <w:rPr>
                <w:i/>
                <w:color w:val="000000"/>
                <w:sz w:val="24"/>
                <w:szCs w:val="24"/>
              </w:rPr>
            </w:pPr>
            <w:r>
              <w:rPr>
                <w:i/>
                <w:color w:val="000000"/>
                <w:sz w:val="24"/>
                <w:szCs w:val="24"/>
              </w:rPr>
              <w:t>О1 «Употребляю редко (от случая к случаю, не каждый месяц)»</w:t>
            </w:r>
          </w:p>
        </w:tc>
        <w:tc>
          <w:tcPr>
            <w:tcW w:w="1233" w:type="dxa"/>
            <w:vAlign w:val="center"/>
          </w:tcPr>
          <w:p w:rsidR="00DC1467" w:rsidRDefault="00B70D3E">
            <w:pPr>
              <w:spacing w:line="240" w:lineRule="auto"/>
              <w:ind w:firstLine="0"/>
              <w:jc w:val="center"/>
              <w:rPr>
                <w:color w:val="000000"/>
                <w:sz w:val="24"/>
                <w:szCs w:val="24"/>
              </w:rPr>
            </w:pPr>
            <w:r>
              <w:rPr>
                <w:color w:val="000000"/>
                <w:sz w:val="24"/>
                <w:szCs w:val="24"/>
              </w:rPr>
              <w:t>9 чел.</w:t>
            </w:r>
          </w:p>
        </w:tc>
        <w:tc>
          <w:tcPr>
            <w:tcW w:w="1134" w:type="dxa"/>
            <w:vAlign w:val="center"/>
          </w:tcPr>
          <w:p w:rsidR="00DC1467" w:rsidRDefault="00B70D3E">
            <w:pPr>
              <w:spacing w:line="240" w:lineRule="auto"/>
              <w:ind w:firstLine="0"/>
              <w:jc w:val="center"/>
              <w:rPr>
                <w:color w:val="000000"/>
                <w:sz w:val="24"/>
                <w:szCs w:val="24"/>
              </w:rPr>
            </w:pPr>
            <w:r>
              <w:rPr>
                <w:color w:val="000000"/>
                <w:sz w:val="24"/>
                <w:szCs w:val="24"/>
              </w:rPr>
              <w:t>10 чел.</w:t>
            </w:r>
          </w:p>
        </w:tc>
        <w:tc>
          <w:tcPr>
            <w:tcW w:w="1275" w:type="dxa"/>
            <w:vAlign w:val="center"/>
          </w:tcPr>
          <w:p w:rsidR="00DC1467" w:rsidRDefault="00B70D3E">
            <w:pPr>
              <w:spacing w:line="240" w:lineRule="auto"/>
              <w:ind w:firstLine="0"/>
              <w:jc w:val="center"/>
              <w:rPr>
                <w:color w:val="000000"/>
                <w:sz w:val="24"/>
                <w:szCs w:val="24"/>
              </w:rPr>
            </w:pPr>
            <w:r>
              <w:rPr>
                <w:color w:val="000000"/>
                <w:sz w:val="24"/>
                <w:szCs w:val="24"/>
              </w:rPr>
              <w:t>9 чел.</w:t>
            </w:r>
          </w:p>
        </w:tc>
        <w:tc>
          <w:tcPr>
            <w:tcW w:w="1138" w:type="dxa"/>
            <w:vAlign w:val="center"/>
          </w:tcPr>
          <w:p w:rsidR="00DC1467" w:rsidRDefault="00B70D3E">
            <w:pPr>
              <w:spacing w:line="240" w:lineRule="auto"/>
              <w:ind w:firstLine="0"/>
              <w:jc w:val="center"/>
              <w:rPr>
                <w:color w:val="000000"/>
                <w:sz w:val="24"/>
                <w:szCs w:val="24"/>
              </w:rPr>
            </w:pPr>
            <w:r>
              <w:rPr>
                <w:color w:val="000000"/>
                <w:sz w:val="24"/>
                <w:szCs w:val="24"/>
              </w:rPr>
              <w:t>39 чел.</w:t>
            </w:r>
          </w:p>
        </w:tc>
        <w:tc>
          <w:tcPr>
            <w:tcW w:w="1237" w:type="dxa"/>
            <w:shd w:val="clear" w:color="auto" w:fill="auto"/>
            <w:noWrap/>
            <w:vAlign w:val="center"/>
          </w:tcPr>
          <w:p w:rsidR="00DC1467" w:rsidRDefault="00B70D3E">
            <w:pPr>
              <w:spacing w:line="240" w:lineRule="auto"/>
              <w:ind w:firstLine="0"/>
              <w:jc w:val="center"/>
              <w:rPr>
                <w:color w:val="000000"/>
                <w:sz w:val="24"/>
                <w:szCs w:val="24"/>
              </w:rPr>
            </w:pPr>
            <w:r>
              <w:rPr>
                <w:color w:val="000000"/>
                <w:sz w:val="24"/>
                <w:szCs w:val="24"/>
              </w:rPr>
              <w:t>0 чел.</w:t>
            </w:r>
          </w:p>
        </w:tc>
        <w:tc>
          <w:tcPr>
            <w:tcW w:w="1169" w:type="dxa"/>
            <w:shd w:val="clear" w:color="auto" w:fill="auto"/>
            <w:noWrap/>
            <w:vAlign w:val="center"/>
          </w:tcPr>
          <w:p w:rsidR="00DC1467" w:rsidRDefault="00B70D3E">
            <w:pPr>
              <w:spacing w:line="240" w:lineRule="auto"/>
              <w:ind w:firstLine="0"/>
              <w:jc w:val="center"/>
              <w:rPr>
                <w:color w:val="000000"/>
                <w:sz w:val="24"/>
                <w:szCs w:val="24"/>
              </w:rPr>
            </w:pPr>
            <w:r>
              <w:rPr>
                <w:color w:val="000000"/>
                <w:sz w:val="24"/>
                <w:szCs w:val="24"/>
              </w:rPr>
              <w:t>15 чел.</w:t>
            </w:r>
          </w:p>
        </w:tc>
      </w:tr>
      <w:tr w:rsidR="00DC1467">
        <w:trPr>
          <w:trHeight w:val="227"/>
        </w:trPr>
        <w:tc>
          <w:tcPr>
            <w:tcW w:w="3157" w:type="dxa"/>
            <w:shd w:val="clear" w:color="auto" w:fill="auto"/>
            <w:vAlign w:val="center"/>
          </w:tcPr>
          <w:p w:rsidR="00DC1467" w:rsidRDefault="00B70D3E">
            <w:pPr>
              <w:spacing w:line="240" w:lineRule="auto"/>
              <w:ind w:firstLine="0"/>
              <w:jc w:val="left"/>
              <w:rPr>
                <w:i/>
                <w:color w:val="000000"/>
                <w:sz w:val="24"/>
                <w:szCs w:val="24"/>
              </w:rPr>
            </w:pPr>
            <w:r>
              <w:rPr>
                <w:i/>
                <w:color w:val="000000"/>
                <w:sz w:val="24"/>
                <w:szCs w:val="24"/>
              </w:rPr>
              <w:t>О2 «Употребляю регулярно (раз в месяц и чаще)»</w:t>
            </w:r>
          </w:p>
        </w:tc>
        <w:tc>
          <w:tcPr>
            <w:tcW w:w="1233" w:type="dxa"/>
            <w:vAlign w:val="center"/>
          </w:tcPr>
          <w:p w:rsidR="00DC1467" w:rsidRDefault="00B70D3E">
            <w:pPr>
              <w:spacing w:line="240" w:lineRule="auto"/>
              <w:ind w:firstLine="0"/>
              <w:jc w:val="center"/>
              <w:rPr>
                <w:color w:val="000000"/>
                <w:sz w:val="24"/>
                <w:szCs w:val="24"/>
              </w:rPr>
            </w:pPr>
            <w:r>
              <w:rPr>
                <w:color w:val="000000"/>
                <w:sz w:val="24"/>
                <w:szCs w:val="24"/>
              </w:rPr>
              <w:t>5 чел.</w:t>
            </w:r>
          </w:p>
        </w:tc>
        <w:tc>
          <w:tcPr>
            <w:tcW w:w="1134" w:type="dxa"/>
            <w:vAlign w:val="center"/>
          </w:tcPr>
          <w:p w:rsidR="00DC1467" w:rsidRDefault="00B70D3E">
            <w:pPr>
              <w:spacing w:line="240" w:lineRule="auto"/>
              <w:ind w:firstLine="0"/>
              <w:jc w:val="center"/>
              <w:rPr>
                <w:color w:val="000000"/>
                <w:sz w:val="24"/>
                <w:szCs w:val="24"/>
              </w:rPr>
            </w:pPr>
            <w:r>
              <w:rPr>
                <w:color w:val="000000"/>
                <w:sz w:val="24"/>
                <w:szCs w:val="24"/>
              </w:rPr>
              <w:t>8 чел.</w:t>
            </w:r>
          </w:p>
        </w:tc>
        <w:tc>
          <w:tcPr>
            <w:tcW w:w="1275" w:type="dxa"/>
            <w:vAlign w:val="center"/>
          </w:tcPr>
          <w:p w:rsidR="00DC1467" w:rsidRDefault="00B70D3E">
            <w:pPr>
              <w:spacing w:line="240" w:lineRule="auto"/>
              <w:ind w:firstLine="0"/>
              <w:jc w:val="center"/>
              <w:rPr>
                <w:color w:val="000000"/>
                <w:sz w:val="24"/>
                <w:szCs w:val="24"/>
              </w:rPr>
            </w:pPr>
            <w:r>
              <w:rPr>
                <w:color w:val="000000"/>
                <w:sz w:val="24"/>
                <w:szCs w:val="24"/>
              </w:rPr>
              <w:t>1 чел.</w:t>
            </w:r>
          </w:p>
        </w:tc>
        <w:tc>
          <w:tcPr>
            <w:tcW w:w="1138" w:type="dxa"/>
            <w:vAlign w:val="center"/>
          </w:tcPr>
          <w:p w:rsidR="00DC1467" w:rsidRDefault="00B70D3E">
            <w:pPr>
              <w:spacing w:line="240" w:lineRule="auto"/>
              <w:ind w:firstLine="0"/>
              <w:jc w:val="center"/>
              <w:rPr>
                <w:sz w:val="24"/>
                <w:szCs w:val="24"/>
              </w:rPr>
            </w:pPr>
            <w:r>
              <w:rPr>
                <w:color w:val="000000"/>
                <w:sz w:val="24"/>
                <w:szCs w:val="24"/>
              </w:rPr>
              <w:t>10 чел.</w:t>
            </w:r>
          </w:p>
        </w:tc>
        <w:tc>
          <w:tcPr>
            <w:tcW w:w="1237" w:type="dxa"/>
            <w:shd w:val="clear" w:color="auto" w:fill="auto"/>
            <w:noWrap/>
            <w:vAlign w:val="center"/>
          </w:tcPr>
          <w:p w:rsidR="00DC1467" w:rsidRDefault="00B70D3E">
            <w:pPr>
              <w:spacing w:line="240" w:lineRule="auto"/>
              <w:ind w:firstLine="0"/>
              <w:jc w:val="center"/>
              <w:rPr>
                <w:color w:val="000000"/>
                <w:sz w:val="24"/>
                <w:szCs w:val="24"/>
              </w:rPr>
            </w:pPr>
            <w:r>
              <w:rPr>
                <w:color w:val="000000"/>
                <w:sz w:val="24"/>
                <w:szCs w:val="24"/>
              </w:rPr>
              <w:t>0 чел.</w:t>
            </w:r>
          </w:p>
        </w:tc>
        <w:tc>
          <w:tcPr>
            <w:tcW w:w="1169" w:type="dxa"/>
            <w:shd w:val="clear" w:color="auto" w:fill="auto"/>
            <w:noWrap/>
            <w:vAlign w:val="center"/>
          </w:tcPr>
          <w:p w:rsidR="00DC1467" w:rsidRDefault="00B70D3E">
            <w:pPr>
              <w:spacing w:line="240" w:lineRule="auto"/>
              <w:ind w:firstLine="0"/>
              <w:jc w:val="center"/>
              <w:rPr>
                <w:color w:val="000000"/>
                <w:sz w:val="24"/>
                <w:szCs w:val="24"/>
              </w:rPr>
            </w:pPr>
            <w:r>
              <w:rPr>
                <w:color w:val="000000"/>
                <w:sz w:val="24"/>
                <w:szCs w:val="24"/>
              </w:rPr>
              <w:t>4 чел.</w:t>
            </w:r>
          </w:p>
        </w:tc>
      </w:tr>
      <w:tr w:rsidR="00DC1467">
        <w:trPr>
          <w:trHeight w:val="227"/>
        </w:trPr>
        <w:tc>
          <w:tcPr>
            <w:tcW w:w="3157" w:type="dxa"/>
            <w:shd w:val="clear" w:color="auto" w:fill="auto"/>
            <w:vAlign w:val="center"/>
          </w:tcPr>
          <w:p w:rsidR="00DC1467" w:rsidRDefault="00B70D3E">
            <w:pPr>
              <w:spacing w:line="240" w:lineRule="auto"/>
              <w:ind w:firstLine="0"/>
              <w:jc w:val="left"/>
              <w:rPr>
                <w:i/>
                <w:color w:val="000000"/>
                <w:sz w:val="24"/>
                <w:szCs w:val="24"/>
              </w:rPr>
            </w:pPr>
            <w:r>
              <w:rPr>
                <w:i/>
                <w:color w:val="000000"/>
                <w:sz w:val="24"/>
                <w:szCs w:val="24"/>
              </w:rPr>
              <w:t>О3 «Употребляю постоянно (несколько раз в неделю)»</w:t>
            </w:r>
          </w:p>
        </w:tc>
        <w:tc>
          <w:tcPr>
            <w:tcW w:w="1233" w:type="dxa"/>
            <w:vAlign w:val="center"/>
          </w:tcPr>
          <w:p w:rsidR="00DC1467" w:rsidRDefault="00B70D3E">
            <w:pPr>
              <w:spacing w:line="240" w:lineRule="auto"/>
              <w:ind w:firstLine="0"/>
              <w:jc w:val="center"/>
              <w:rPr>
                <w:color w:val="000000"/>
                <w:sz w:val="24"/>
                <w:szCs w:val="24"/>
              </w:rPr>
            </w:pPr>
            <w:r>
              <w:rPr>
                <w:color w:val="000000"/>
                <w:sz w:val="24"/>
                <w:szCs w:val="24"/>
              </w:rPr>
              <w:t>1 чел.</w:t>
            </w:r>
          </w:p>
        </w:tc>
        <w:tc>
          <w:tcPr>
            <w:tcW w:w="1134" w:type="dxa"/>
            <w:vAlign w:val="center"/>
          </w:tcPr>
          <w:p w:rsidR="00DC1467" w:rsidRDefault="00B70D3E">
            <w:pPr>
              <w:spacing w:line="240" w:lineRule="auto"/>
              <w:ind w:firstLine="0"/>
              <w:jc w:val="center"/>
              <w:rPr>
                <w:color w:val="000000"/>
                <w:sz w:val="24"/>
                <w:szCs w:val="24"/>
              </w:rPr>
            </w:pPr>
            <w:r>
              <w:rPr>
                <w:color w:val="000000"/>
                <w:sz w:val="24"/>
                <w:szCs w:val="24"/>
              </w:rPr>
              <w:t>2 чел.</w:t>
            </w:r>
          </w:p>
        </w:tc>
        <w:tc>
          <w:tcPr>
            <w:tcW w:w="1275" w:type="dxa"/>
            <w:vAlign w:val="center"/>
          </w:tcPr>
          <w:p w:rsidR="00DC1467" w:rsidRDefault="00B70D3E">
            <w:pPr>
              <w:spacing w:line="240" w:lineRule="auto"/>
              <w:ind w:firstLine="0"/>
              <w:jc w:val="center"/>
              <w:rPr>
                <w:color w:val="000000"/>
                <w:sz w:val="24"/>
                <w:szCs w:val="24"/>
              </w:rPr>
            </w:pPr>
            <w:r>
              <w:rPr>
                <w:color w:val="000000"/>
                <w:sz w:val="24"/>
                <w:szCs w:val="24"/>
              </w:rPr>
              <w:t>1 чел.</w:t>
            </w:r>
          </w:p>
        </w:tc>
        <w:tc>
          <w:tcPr>
            <w:tcW w:w="1138" w:type="dxa"/>
            <w:vAlign w:val="center"/>
          </w:tcPr>
          <w:p w:rsidR="00DC1467" w:rsidRDefault="00B70D3E">
            <w:pPr>
              <w:spacing w:line="240" w:lineRule="auto"/>
              <w:ind w:firstLine="0"/>
              <w:jc w:val="center"/>
              <w:rPr>
                <w:sz w:val="24"/>
                <w:szCs w:val="24"/>
              </w:rPr>
            </w:pPr>
            <w:r>
              <w:rPr>
                <w:color w:val="000000"/>
                <w:sz w:val="24"/>
                <w:szCs w:val="24"/>
              </w:rPr>
              <w:t>3 чел.</w:t>
            </w:r>
          </w:p>
        </w:tc>
        <w:tc>
          <w:tcPr>
            <w:tcW w:w="1237" w:type="dxa"/>
            <w:shd w:val="clear" w:color="auto" w:fill="auto"/>
            <w:noWrap/>
            <w:vAlign w:val="center"/>
          </w:tcPr>
          <w:p w:rsidR="00DC1467" w:rsidRDefault="00B70D3E">
            <w:pPr>
              <w:spacing w:line="240" w:lineRule="auto"/>
              <w:ind w:firstLine="0"/>
              <w:jc w:val="center"/>
              <w:rPr>
                <w:color w:val="000000"/>
                <w:sz w:val="24"/>
                <w:szCs w:val="24"/>
              </w:rPr>
            </w:pPr>
            <w:r>
              <w:rPr>
                <w:color w:val="000000"/>
                <w:sz w:val="24"/>
                <w:szCs w:val="24"/>
              </w:rPr>
              <w:t>0 чел.</w:t>
            </w:r>
          </w:p>
        </w:tc>
        <w:tc>
          <w:tcPr>
            <w:tcW w:w="1169" w:type="dxa"/>
            <w:shd w:val="clear" w:color="auto" w:fill="auto"/>
            <w:noWrap/>
            <w:vAlign w:val="center"/>
          </w:tcPr>
          <w:p w:rsidR="00DC1467" w:rsidRDefault="00B70D3E">
            <w:pPr>
              <w:spacing w:line="240" w:lineRule="auto"/>
              <w:ind w:firstLine="0"/>
              <w:jc w:val="center"/>
              <w:rPr>
                <w:color w:val="000000"/>
                <w:sz w:val="24"/>
                <w:szCs w:val="24"/>
              </w:rPr>
            </w:pPr>
            <w:r>
              <w:rPr>
                <w:color w:val="000000"/>
                <w:sz w:val="24"/>
                <w:szCs w:val="24"/>
              </w:rPr>
              <w:t>0 чел.</w:t>
            </w:r>
          </w:p>
        </w:tc>
      </w:tr>
      <w:tr w:rsidR="00DC1467">
        <w:trPr>
          <w:trHeight w:val="227"/>
        </w:trPr>
        <w:tc>
          <w:tcPr>
            <w:tcW w:w="3157" w:type="dxa"/>
            <w:shd w:val="clear" w:color="auto" w:fill="auto"/>
            <w:vAlign w:val="center"/>
          </w:tcPr>
          <w:p w:rsidR="00DC1467" w:rsidRDefault="00B70D3E">
            <w:pPr>
              <w:spacing w:line="240" w:lineRule="auto"/>
              <w:ind w:firstLine="0"/>
              <w:jc w:val="left"/>
              <w:rPr>
                <w:i/>
                <w:color w:val="000000"/>
                <w:sz w:val="24"/>
                <w:szCs w:val="24"/>
              </w:rPr>
            </w:pPr>
            <w:r>
              <w:rPr>
                <w:i/>
                <w:color w:val="000000"/>
                <w:sz w:val="24"/>
                <w:szCs w:val="24"/>
              </w:rPr>
              <w:t>О4 «Употребляю ежедневно»</w:t>
            </w:r>
          </w:p>
        </w:tc>
        <w:tc>
          <w:tcPr>
            <w:tcW w:w="1233" w:type="dxa"/>
            <w:vAlign w:val="center"/>
          </w:tcPr>
          <w:p w:rsidR="00DC1467" w:rsidRDefault="00B70D3E">
            <w:pPr>
              <w:spacing w:line="240" w:lineRule="auto"/>
              <w:ind w:firstLine="0"/>
              <w:jc w:val="center"/>
              <w:rPr>
                <w:color w:val="000000"/>
                <w:sz w:val="24"/>
                <w:szCs w:val="24"/>
              </w:rPr>
            </w:pPr>
            <w:r>
              <w:rPr>
                <w:color w:val="000000"/>
                <w:sz w:val="24"/>
                <w:szCs w:val="24"/>
              </w:rPr>
              <w:t>0 чел.</w:t>
            </w:r>
          </w:p>
        </w:tc>
        <w:tc>
          <w:tcPr>
            <w:tcW w:w="1134" w:type="dxa"/>
            <w:vAlign w:val="center"/>
          </w:tcPr>
          <w:p w:rsidR="00DC1467" w:rsidRDefault="00B70D3E">
            <w:pPr>
              <w:spacing w:line="240" w:lineRule="auto"/>
              <w:ind w:firstLine="0"/>
              <w:jc w:val="center"/>
              <w:rPr>
                <w:color w:val="000000"/>
                <w:sz w:val="24"/>
                <w:szCs w:val="24"/>
              </w:rPr>
            </w:pPr>
            <w:r>
              <w:rPr>
                <w:color w:val="000000"/>
                <w:sz w:val="24"/>
                <w:szCs w:val="24"/>
              </w:rPr>
              <w:t>3 чел.</w:t>
            </w:r>
          </w:p>
        </w:tc>
        <w:tc>
          <w:tcPr>
            <w:tcW w:w="1275" w:type="dxa"/>
            <w:vAlign w:val="center"/>
          </w:tcPr>
          <w:p w:rsidR="00DC1467" w:rsidRDefault="00B70D3E">
            <w:pPr>
              <w:spacing w:line="240" w:lineRule="auto"/>
              <w:ind w:firstLine="0"/>
              <w:jc w:val="center"/>
              <w:rPr>
                <w:color w:val="000000"/>
                <w:sz w:val="24"/>
                <w:szCs w:val="24"/>
              </w:rPr>
            </w:pPr>
            <w:r>
              <w:rPr>
                <w:color w:val="000000"/>
                <w:sz w:val="24"/>
                <w:szCs w:val="24"/>
                <w:lang w:val="en-US"/>
              </w:rPr>
              <w:t>0</w:t>
            </w:r>
            <w:r>
              <w:rPr>
                <w:color w:val="000000"/>
                <w:sz w:val="24"/>
                <w:szCs w:val="24"/>
              </w:rPr>
              <w:t xml:space="preserve"> чел.</w:t>
            </w:r>
          </w:p>
        </w:tc>
        <w:tc>
          <w:tcPr>
            <w:tcW w:w="1138" w:type="dxa"/>
            <w:vAlign w:val="center"/>
          </w:tcPr>
          <w:p w:rsidR="00DC1467" w:rsidRDefault="00B70D3E">
            <w:pPr>
              <w:spacing w:line="240" w:lineRule="auto"/>
              <w:ind w:firstLine="0"/>
              <w:jc w:val="center"/>
              <w:rPr>
                <w:sz w:val="24"/>
                <w:szCs w:val="24"/>
              </w:rPr>
            </w:pPr>
            <w:r>
              <w:rPr>
                <w:color w:val="000000"/>
                <w:sz w:val="24"/>
                <w:szCs w:val="24"/>
              </w:rPr>
              <w:t>10 чел.</w:t>
            </w:r>
          </w:p>
        </w:tc>
        <w:tc>
          <w:tcPr>
            <w:tcW w:w="1237" w:type="dxa"/>
            <w:shd w:val="clear" w:color="auto" w:fill="auto"/>
            <w:noWrap/>
            <w:vAlign w:val="center"/>
          </w:tcPr>
          <w:p w:rsidR="00DC1467" w:rsidRDefault="00B70D3E">
            <w:pPr>
              <w:spacing w:line="240" w:lineRule="auto"/>
              <w:ind w:firstLine="0"/>
              <w:jc w:val="center"/>
              <w:rPr>
                <w:color w:val="000000"/>
                <w:sz w:val="24"/>
                <w:szCs w:val="24"/>
              </w:rPr>
            </w:pPr>
            <w:r>
              <w:rPr>
                <w:color w:val="000000"/>
                <w:sz w:val="24"/>
                <w:szCs w:val="24"/>
              </w:rPr>
              <w:t>0 чел.</w:t>
            </w:r>
          </w:p>
        </w:tc>
        <w:tc>
          <w:tcPr>
            <w:tcW w:w="1169" w:type="dxa"/>
            <w:shd w:val="clear" w:color="auto" w:fill="auto"/>
            <w:noWrap/>
            <w:vAlign w:val="center"/>
          </w:tcPr>
          <w:p w:rsidR="00DC1467" w:rsidRDefault="00B70D3E">
            <w:pPr>
              <w:spacing w:line="240" w:lineRule="auto"/>
              <w:ind w:firstLine="0"/>
              <w:jc w:val="center"/>
              <w:rPr>
                <w:color w:val="000000"/>
                <w:sz w:val="24"/>
                <w:szCs w:val="24"/>
              </w:rPr>
            </w:pPr>
            <w:r>
              <w:rPr>
                <w:color w:val="000000"/>
                <w:sz w:val="24"/>
                <w:szCs w:val="24"/>
              </w:rPr>
              <w:t>5 чел.</w:t>
            </w:r>
          </w:p>
        </w:tc>
      </w:tr>
      <w:tr w:rsidR="00DC1467">
        <w:trPr>
          <w:trHeight w:val="227"/>
        </w:trPr>
        <w:tc>
          <w:tcPr>
            <w:tcW w:w="3157" w:type="dxa"/>
            <w:shd w:val="clear" w:color="auto" w:fill="auto"/>
            <w:noWrap/>
            <w:vAlign w:val="center"/>
          </w:tcPr>
          <w:p w:rsidR="00DC1467" w:rsidRDefault="00B70D3E">
            <w:pPr>
              <w:spacing w:line="240" w:lineRule="auto"/>
              <w:ind w:firstLine="0"/>
              <w:jc w:val="left"/>
              <w:rPr>
                <w:b/>
                <w:color w:val="000000"/>
                <w:sz w:val="24"/>
                <w:szCs w:val="24"/>
              </w:rPr>
            </w:pPr>
            <w:r>
              <w:rPr>
                <w:b/>
                <w:color w:val="000000"/>
                <w:sz w:val="24"/>
                <w:szCs w:val="24"/>
              </w:rPr>
              <w:t>показатель</w:t>
            </w:r>
          </w:p>
        </w:tc>
        <w:tc>
          <w:tcPr>
            <w:tcW w:w="1233" w:type="dxa"/>
            <w:vAlign w:val="center"/>
          </w:tcPr>
          <w:p w:rsidR="00DC1467" w:rsidRDefault="00B70D3E">
            <w:pPr>
              <w:spacing w:line="240" w:lineRule="auto"/>
              <w:ind w:firstLine="0"/>
              <w:jc w:val="center"/>
              <w:rPr>
                <w:b/>
                <w:color w:val="000000"/>
                <w:sz w:val="24"/>
                <w:szCs w:val="24"/>
              </w:rPr>
            </w:pPr>
            <w:r>
              <w:rPr>
                <w:b/>
                <w:color w:val="000000"/>
                <w:sz w:val="24"/>
                <w:szCs w:val="24"/>
              </w:rPr>
              <w:t>0,9</w:t>
            </w:r>
          </w:p>
        </w:tc>
        <w:tc>
          <w:tcPr>
            <w:tcW w:w="1134" w:type="dxa"/>
            <w:vAlign w:val="center"/>
          </w:tcPr>
          <w:p w:rsidR="00DC1467" w:rsidRDefault="00B70D3E">
            <w:pPr>
              <w:spacing w:line="240" w:lineRule="auto"/>
              <w:ind w:firstLine="0"/>
              <w:jc w:val="center"/>
              <w:rPr>
                <w:b/>
                <w:color w:val="000000"/>
                <w:sz w:val="24"/>
                <w:szCs w:val="24"/>
              </w:rPr>
            </w:pPr>
            <w:r>
              <w:rPr>
                <w:b/>
                <w:color w:val="000000"/>
                <w:sz w:val="24"/>
                <w:szCs w:val="24"/>
              </w:rPr>
              <w:t>1,34</w:t>
            </w:r>
          </w:p>
        </w:tc>
        <w:tc>
          <w:tcPr>
            <w:tcW w:w="1275" w:type="dxa"/>
            <w:vAlign w:val="center"/>
          </w:tcPr>
          <w:p w:rsidR="00DC1467" w:rsidRDefault="00B70D3E">
            <w:pPr>
              <w:spacing w:line="240" w:lineRule="auto"/>
              <w:ind w:firstLine="0"/>
              <w:jc w:val="center"/>
              <w:rPr>
                <w:b/>
                <w:color w:val="000000"/>
                <w:sz w:val="24"/>
                <w:szCs w:val="24"/>
              </w:rPr>
            </w:pPr>
            <w:r>
              <w:rPr>
                <w:b/>
                <w:color w:val="000000"/>
                <w:sz w:val="24"/>
                <w:szCs w:val="24"/>
                <w:lang w:val="en-US"/>
              </w:rPr>
              <w:t>0</w:t>
            </w:r>
            <w:r>
              <w:rPr>
                <w:b/>
                <w:color w:val="000000"/>
                <w:sz w:val="24"/>
                <w:szCs w:val="24"/>
              </w:rPr>
              <w:t>,6</w:t>
            </w:r>
          </w:p>
        </w:tc>
        <w:tc>
          <w:tcPr>
            <w:tcW w:w="1138" w:type="dxa"/>
            <w:vAlign w:val="center"/>
          </w:tcPr>
          <w:p w:rsidR="00DC1467" w:rsidRDefault="00B70D3E">
            <w:pPr>
              <w:spacing w:line="240" w:lineRule="auto"/>
              <w:ind w:firstLine="0"/>
              <w:jc w:val="center"/>
              <w:rPr>
                <w:b/>
                <w:color w:val="000000"/>
                <w:sz w:val="24"/>
                <w:szCs w:val="24"/>
              </w:rPr>
            </w:pPr>
            <w:r>
              <w:rPr>
                <w:b/>
                <w:color w:val="000000"/>
                <w:sz w:val="24"/>
                <w:szCs w:val="24"/>
              </w:rPr>
              <w:t>0,9</w:t>
            </w:r>
          </w:p>
        </w:tc>
        <w:tc>
          <w:tcPr>
            <w:tcW w:w="1237" w:type="dxa"/>
            <w:shd w:val="clear" w:color="auto" w:fill="auto"/>
            <w:noWrap/>
            <w:vAlign w:val="center"/>
          </w:tcPr>
          <w:p w:rsidR="00DC1467" w:rsidRDefault="00B70D3E">
            <w:pPr>
              <w:spacing w:line="240" w:lineRule="auto"/>
              <w:ind w:firstLine="0"/>
              <w:jc w:val="center"/>
              <w:rPr>
                <w:b/>
                <w:color w:val="000000"/>
                <w:sz w:val="24"/>
                <w:szCs w:val="24"/>
              </w:rPr>
            </w:pPr>
            <w:r>
              <w:rPr>
                <w:b/>
                <w:color w:val="000000"/>
                <w:sz w:val="24"/>
                <w:szCs w:val="24"/>
              </w:rPr>
              <w:t>0</w:t>
            </w:r>
          </w:p>
        </w:tc>
        <w:tc>
          <w:tcPr>
            <w:tcW w:w="1169" w:type="dxa"/>
            <w:shd w:val="clear" w:color="auto" w:fill="auto"/>
            <w:noWrap/>
            <w:vAlign w:val="center"/>
          </w:tcPr>
          <w:p w:rsidR="00DC1467" w:rsidRDefault="00B70D3E">
            <w:pPr>
              <w:spacing w:line="240" w:lineRule="auto"/>
              <w:ind w:firstLine="0"/>
              <w:jc w:val="center"/>
              <w:rPr>
                <w:b/>
                <w:color w:val="000000"/>
                <w:sz w:val="24"/>
                <w:szCs w:val="24"/>
              </w:rPr>
            </w:pPr>
            <w:r>
              <w:rPr>
                <w:b/>
                <w:color w:val="000000"/>
                <w:sz w:val="24"/>
                <w:szCs w:val="24"/>
              </w:rPr>
              <w:t>1,2</w:t>
            </w:r>
          </w:p>
        </w:tc>
      </w:tr>
      <w:tr w:rsidR="00DC1467">
        <w:trPr>
          <w:trHeight w:val="227"/>
        </w:trPr>
        <w:tc>
          <w:tcPr>
            <w:tcW w:w="3157" w:type="dxa"/>
            <w:shd w:val="clear" w:color="auto" w:fill="auto"/>
            <w:noWrap/>
            <w:vAlign w:val="center"/>
          </w:tcPr>
          <w:p w:rsidR="00DC1467" w:rsidRDefault="00B70D3E">
            <w:pPr>
              <w:spacing w:line="240" w:lineRule="auto"/>
              <w:ind w:firstLine="0"/>
              <w:jc w:val="left"/>
              <w:rPr>
                <w:color w:val="000000"/>
                <w:sz w:val="24"/>
                <w:szCs w:val="24"/>
              </w:rPr>
            </w:pPr>
            <w:r>
              <w:rPr>
                <w:color w:val="000000"/>
                <w:sz w:val="24"/>
                <w:szCs w:val="24"/>
              </w:rPr>
              <w:t>Критерии состояния наркоситуации</w:t>
            </w:r>
          </w:p>
        </w:tc>
        <w:tc>
          <w:tcPr>
            <w:tcW w:w="1233" w:type="dxa"/>
            <w:vAlign w:val="center"/>
          </w:tcPr>
          <w:p w:rsidR="00DC1467" w:rsidRDefault="00B70D3E">
            <w:pPr>
              <w:spacing w:line="240" w:lineRule="auto"/>
              <w:ind w:firstLine="0"/>
              <w:jc w:val="center"/>
              <w:rPr>
                <w:b/>
                <w:color w:val="000000"/>
                <w:sz w:val="22"/>
                <w:szCs w:val="22"/>
              </w:rPr>
            </w:pPr>
            <w:r>
              <w:rPr>
                <w:b/>
                <w:color w:val="000000"/>
                <w:sz w:val="22"/>
                <w:szCs w:val="22"/>
              </w:rPr>
              <w:t>Напря-женное</w:t>
            </w:r>
          </w:p>
        </w:tc>
        <w:tc>
          <w:tcPr>
            <w:tcW w:w="1134" w:type="dxa"/>
            <w:vAlign w:val="center"/>
          </w:tcPr>
          <w:p w:rsidR="00DC1467" w:rsidRDefault="00B70D3E">
            <w:pPr>
              <w:spacing w:line="240" w:lineRule="auto"/>
              <w:ind w:firstLine="0"/>
              <w:jc w:val="center"/>
              <w:rPr>
                <w:b/>
                <w:color w:val="000000"/>
                <w:sz w:val="22"/>
                <w:szCs w:val="22"/>
              </w:rPr>
            </w:pPr>
            <w:r>
              <w:rPr>
                <w:b/>
                <w:color w:val="000000"/>
                <w:sz w:val="22"/>
                <w:szCs w:val="22"/>
              </w:rPr>
              <w:t>Напря-женное</w:t>
            </w:r>
          </w:p>
        </w:tc>
        <w:tc>
          <w:tcPr>
            <w:tcW w:w="1275" w:type="dxa"/>
            <w:vAlign w:val="center"/>
          </w:tcPr>
          <w:p w:rsidR="00DC1467" w:rsidRDefault="00B70D3E">
            <w:pPr>
              <w:spacing w:line="240" w:lineRule="auto"/>
              <w:ind w:firstLine="0"/>
              <w:jc w:val="center"/>
              <w:rPr>
                <w:b/>
                <w:color w:val="000000"/>
                <w:sz w:val="22"/>
                <w:szCs w:val="22"/>
              </w:rPr>
            </w:pPr>
            <w:r>
              <w:rPr>
                <w:b/>
                <w:color w:val="000000"/>
                <w:sz w:val="22"/>
                <w:szCs w:val="22"/>
              </w:rPr>
              <w:t>Нейтраль-ная</w:t>
            </w:r>
          </w:p>
        </w:tc>
        <w:tc>
          <w:tcPr>
            <w:tcW w:w="1138" w:type="dxa"/>
            <w:vAlign w:val="center"/>
          </w:tcPr>
          <w:p w:rsidR="00DC1467" w:rsidRDefault="00B70D3E">
            <w:pPr>
              <w:spacing w:line="240" w:lineRule="auto"/>
              <w:ind w:firstLine="0"/>
              <w:jc w:val="center"/>
              <w:rPr>
                <w:b/>
                <w:color w:val="000000"/>
                <w:sz w:val="22"/>
                <w:szCs w:val="22"/>
              </w:rPr>
            </w:pPr>
            <w:r>
              <w:rPr>
                <w:b/>
                <w:color w:val="000000"/>
                <w:sz w:val="22"/>
                <w:szCs w:val="22"/>
              </w:rPr>
              <w:t>Напря-женное</w:t>
            </w:r>
          </w:p>
        </w:tc>
        <w:tc>
          <w:tcPr>
            <w:tcW w:w="1237" w:type="dxa"/>
            <w:shd w:val="clear" w:color="auto" w:fill="auto"/>
            <w:noWrap/>
            <w:vAlign w:val="center"/>
          </w:tcPr>
          <w:p w:rsidR="00DC1467" w:rsidRDefault="00B70D3E">
            <w:pPr>
              <w:spacing w:line="240" w:lineRule="auto"/>
              <w:ind w:firstLine="0"/>
              <w:jc w:val="center"/>
              <w:rPr>
                <w:b/>
                <w:color w:val="000000"/>
                <w:sz w:val="22"/>
                <w:szCs w:val="22"/>
              </w:rPr>
            </w:pPr>
            <w:r>
              <w:rPr>
                <w:b/>
                <w:color w:val="000000"/>
                <w:sz w:val="22"/>
                <w:szCs w:val="22"/>
              </w:rPr>
              <w:t>Удовлет-вори-тельное</w:t>
            </w:r>
          </w:p>
        </w:tc>
        <w:tc>
          <w:tcPr>
            <w:tcW w:w="1169" w:type="dxa"/>
            <w:shd w:val="clear" w:color="auto" w:fill="auto"/>
            <w:noWrap/>
            <w:vAlign w:val="center"/>
          </w:tcPr>
          <w:p w:rsidR="00DC1467" w:rsidRDefault="00B70D3E">
            <w:pPr>
              <w:spacing w:line="240" w:lineRule="auto"/>
              <w:ind w:firstLine="0"/>
              <w:jc w:val="center"/>
              <w:rPr>
                <w:b/>
                <w:color w:val="000000"/>
                <w:sz w:val="22"/>
                <w:szCs w:val="22"/>
              </w:rPr>
            </w:pPr>
            <w:r>
              <w:rPr>
                <w:b/>
                <w:color w:val="000000"/>
                <w:sz w:val="22"/>
                <w:szCs w:val="22"/>
              </w:rPr>
              <w:t>Напря-женное</w:t>
            </w:r>
          </w:p>
        </w:tc>
      </w:tr>
    </w:tbl>
    <w:p w:rsidR="00DC1467" w:rsidRDefault="00DC1467">
      <w:pPr>
        <w:spacing w:line="240" w:lineRule="auto"/>
        <w:contextualSpacing/>
        <w:rPr>
          <w:highlight w:val="yellow"/>
        </w:rPr>
      </w:pPr>
    </w:p>
    <w:p w:rsidR="00DC1467" w:rsidRDefault="00DC1467">
      <w:pPr>
        <w:spacing w:line="276" w:lineRule="auto"/>
        <w:ind w:firstLine="709"/>
        <w:outlineLvl w:val="1"/>
        <w:rPr>
          <w:b/>
          <w:highlight w:val="yellow"/>
        </w:rPr>
        <w:sectPr w:rsidR="00DC1467">
          <w:pgSz w:w="11906" w:h="16838"/>
          <w:pgMar w:top="1134" w:right="851" w:bottom="1134" w:left="1701" w:header="709" w:footer="709" w:gutter="0"/>
          <w:cols w:space="708"/>
          <w:docGrid w:linePitch="360"/>
        </w:sectPr>
      </w:pPr>
    </w:p>
    <w:p w:rsidR="00DC1467" w:rsidRDefault="00B70D3E">
      <w:pPr>
        <w:spacing w:line="276" w:lineRule="auto"/>
        <w:ind w:firstLine="709"/>
        <w:outlineLvl w:val="1"/>
        <w:rPr>
          <w:b/>
        </w:rPr>
      </w:pPr>
      <w:r>
        <w:rPr>
          <w:b/>
        </w:rPr>
        <w:t xml:space="preserve">3. Оценка состояния и доступности наркологической медицинской помощи, реабилитации и ресоциализации лиц, допускающих потребление наркотиков в немедицинских целях </w:t>
      </w:r>
    </w:p>
    <w:p w:rsidR="00DC1467" w:rsidRDefault="00DC1467">
      <w:pPr>
        <w:pStyle w:val="af5"/>
        <w:spacing w:after="0" w:line="276" w:lineRule="auto"/>
        <w:ind w:firstLine="709"/>
        <w:jc w:val="both"/>
        <w:rPr>
          <w:b/>
          <w:i/>
          <w:sz w:val="28"/>
          <w:szCs w:val="28"/>
        </w:rPr>
      </w:pPr>
    </w:p>
    <w:p w:rsidR="00DC1467" w:rsidRDefault="00B70D3E">
      <w:pPr>
        <w:spacing w:line="276" w:lineRule="auto"/>
        <w:ind w:firstLine="709"/>
        <w:outlineLvl w:val="0"/>
        <w:rPr>
          <w:b/>
          <w:i/>
        </w:rPr>
      </w:pPr>
      <w:r>
        <w:rPr>
          <w:b/>
          <w:i/>
        </w:rPr>
        <w:t>Оценка состояния и доступности на территории автономного округа наркологической медицинской помощи</w:t>
      </w:r>
    </w:p>
    <w:p w:rsidR="00DC1467" w:rsidRDefault="00B70D3E">
      <w:pPr>
        <w:spacing w:line="276" w:lineRule="auto"/>
        <w:ind w:firstLine="720"/>
      </w:pPr>
      <w:r>
        <w:t>Наркологическая помощь населению Ханты-Мансийского автономного округа – Югры осуществляется в соответствии с требованиями приказа Министерства здравоох</w:t>
      </w:r>
      <w:r>
        <w:t xml:space="preserve">ранения РФ от 30.12.2015 № 1034н «Об утверждении Порядка оказания медицинской помощи по профилю «психиатрия-наркология» и Порядка диспансерного наблюдения за лицами с психическими расстройствами и (или) расстройствами поведения, связанными с употреблением </w:t>
      </w:r>
      <w:r>
        <w:t xml:space="preserve">психоактивных веществ», приказа Департамента здравоохранения ХМАО – Югры от 02.02.2024 № 167 </w:t>
      </w:r>
      <w:r>
        <w:br/>
        <w:t>«Об организации оказания наркологической помощи и проведения химико-токсикологических исследований на территории Ханты-Мансийского автономного округа – Югры».</w:t>
      </w:r>
    </w:p>
    <w:p w:rsidR="00DC1467" w:rsidRDefault="00B70D3E">
      <w:pPr>
        <w:spacing w:line="276" w:lineRule="auto"/>
        <w:ind w:firstLine="720"/>
      </w:pPr>
      <w:r>
        <w:t xml:space="preserve">На </w:t>
      </w:r>
      <w:r>
        <w:t>территории автономного округа создана и функционирует трехуровневая система оказания наркологической помощи населению, которая включает следующие уровни:</w:t>
      </w:r>
    </w:p>
    <w:p w:rsidR="00DC1467" w:rsidRDefault="00B70D3E">
      <w:pPr>
        <w:spacing w:line="276" w:lineRule="auto"/>
        <w:ind w:firstLine="720"/>
        <w:rPr>
          <w:u w:val="single"/>
        </w:rPr>
      </w:pPr>
      <w:r>
        <w:rPr>
          <w:u w:val="single"/>
        </w:rPr>
        <w:t>Муниципальный уровень (первый уровень)</w:t>
      </w:r>
    </w:p>
    <w:p w:rsidR="00DC1467" w:rsidRDefault="00B70D3E">
      <w:pPr>
        <w:spacing w:line="276" w:lineRule="auto"/>
        <w:ind w:firstLine="720"/>
      </w:pPr>
      <w:r>
        <w:t>На этом уровне наркологическая помощь оказывается в медицинских</w:t>
      </w:r>
      <w:r>
        <w:t xml:space="preserve"> подразделениях многопрофильных больниц. Основные виды помощи включают:</w:t>
      </w:r>
    </w:p>
    <w:p w:rsidR="00DC1467" w:rsidRDefault="00B70D3E">
      <w:pPr>
        <w:spacing w:line="276" w:lineRule="auto"/>
        <w:ind w:firstLine="720"/>
      </w:pPr>
      <w:r>
        <w:t>первичную врачебную медико-санитарную помощь, оказываемую участковыми терапевтами и врачами общей практики (семейными врачами), врачами педиатрами, врачами скорой медицинской помощи, с</w:t>
      </w:r>
      <w:r>
        <w:t>пециалистами подразделений медицинской профилактики, центров здоровья автономного округа;</w:t>
      </w:r>
    </w:p>
    <w:p w:rsidR="00DC1467" w:rsidRDefault="00B70D3E">
      <w:pPr>
        <w:spacing w:line="276" w:lineRule="auto"/>
        <w:ind w:firstLine="720"/>
      </w:pPr>
      <w:r>
        <w:t>первичную специализированную медико-санитарную помощь, оказываемую психиатром-наркологом участковым либо психиатром-наркологом наркологического кабинета многопрофильн</w:t>
      </w:r>
      <w:r>
        <w:t>ой медицинской организации, обслуживающей население муниципального образования;</w:t>
      </w:r>
    </w:p>
    <w:p w:rsidR="00DC1467" w:rsidRDefault="00B70D3E">
      <w:pPr>
        <w:spacing w:line="276" w:lineRule="auto"/>
        <w:ind w:firstLine="720"/>
      </w:pPr>
      <w:r>
        <w:t>неотложную стационарную помощь, предоставляемую наркологическим больным в реанимационных отделениях (отделениях интенсивной терапии) и токсикологических отделениях многопрофиль</w:t>
      </w:r>
      <w:r>
        <w:t>ных больниц;</w:t>
      </w:r>
    </w:p>
    <w:p w:rsidR="00DC1467" w:rsidRDefault="00B70D3E">
      <w:pPr>
        <w:spacing w:line="276" w:lineRule="auto"/>
        <w:ind w:firstLine="720"/>
      </w:pPr>
      <w:r>
        <w:t>специализированную наркологическую стационарную помощь, оказываемую на наркологических койках многопрофильных медицинских организаций, которые расположены отдельно от специализированных психоневрологических медицинских организаций.</w:t>
      </w:r>
    </w:p>
    <w:p w:rsidR="00DC1467" w:rsidRDefault="00B70D3E">
      <w:pPr>
        <w:spacing w:line="276" w:lineRule="auto"/>
        <w:ind w:firstLine="709"/>
      </w:pPr>
      <w:r>
        <w:t>Для проведения медицинской реабилитации наркологические больные направляются в реабилитационные подразделения психоневрологических учреждений, окружной наркологический реабилитационный центр; в дальнейшем для прохождения социальной реабилитации направляютс</w:t>
      </w:r>
      <w:r>
        <w:t xml:space="preserve">я в социальные учреждения, подведомственные Департаменту социального развития Ханты-Мансийского автономного округа – Югры, а также негосударственные реабилитационные центры, включенные в профильный реестр Департамента социальной развития Ханты-Мансийского </w:t>
      </w:r>
      <w:r>
        <w:t xml:space="preserve">автономного округа – Югры. </w:t>
      </w:r>
    </w:p>
    <w:p w:rsidR="00DC1467" w:rsidRDefault="00B70D3E">
      <w:pPr>
        <w:spacing w:line="276" w:lineRule="auto"/>
        <w:ind w:firstLine="709"/>
      </w:pPr>
      <w:r>
        <w:t xml:space="preserve">Стационарная наркологическая помощь в автономном округе в 2024 году оказывалась на 517-х койках, из них 414 коек – наркологические, 103 койки – реабилитационные (аналогично 2023 году). </w:t>
      </w:r>
    </w:p>
    <w:p w:rsidR="00DC1467" w:rsidRDefault="00B70D3E">
      <w:pPr>
        <w:spacing w:line="276" w:lineRule="auto"/>
        <w:ind w:firstLine="708"/>
        <w:contextualSpacing/>
      </w:pPr>
      <w:r>
        <w:t>Также в автономном округе функционируют дн</w:t>
      </w:r>
      <w:r>
        <w:t xml:space="preserve">евные стационары, часть которых работает в 2 смены, оказывая наркологическую помощь пациентам на 22 койках (29 пациенто-местах). </w:t>
      </w:r>
    </w:p>
    <w:p w:rsidR="00DC1467" w:rsidRDefault="00B70D3E">
      <w:pPr>
        <w:spacing w:line="276" w:lineRule="auto"/>
        <w:ind w:firstLine="708"/>
        <w:contextualSpacing/>
      </w:pPr>
      <w:r>
        <w:t xml:space="preserve">Для медицинской реабилитации на территории автономного округа функционируют 103 койки медицинской реабилитации наркозависимых </w:t>
      </w:r>
      <w:r>
        <w:t>лиц (в 2023 году – 103 реабилитационных наркологических койки):</w:t>
      </w:r>
    </w:p>
    <w:p w:rsidR="00DC1467" w:rsidRDefault="00B70D3E">
      <w:pPr>
        <w:tabs>
          <w:tab w:val="left" w:pos="6645"/>
        </w:tabs>
        <w:spacing w:line="276" w:lineRule="auto"/>
        <w:ind w:firstLine="709"/>
      </w:pPr>
      <w:r>
        <w:t>казенное учреждение Ханты-Мансийского автономного округа – Югры «Лемпинский наркологический реабилитационный центр» – 50 коек;</w:t>
      </w:r>
    </w:p>
    <w:p w:rsidR="00DC1467" w:rsidRDefault="00B70D3E">
      <w:pPr>
        <w:tabs>
          <w:tab w:val="left" w:pos="6645"/>
        </w:tabs>
        <w:spacing w:line="276" w:lineRule="auto"/>
        <w:ind w:firstLine="709"/>
      </w:pPr>
      <w:r>
        <w:t xml:space="preserve">бюджетное учреждение Ханты-Мансийского автономного округа – Югры </w:t>
      </w:r>
      <w:r>
        <w:t>«Сургутская клиническая психоневрологическая больница» – 25 коек;</w:t>
      </w:r>
    </w:p>
    <w:p w:rsidR="00DC1467" w:rsidRDefault="00B70D3E">
      <w:pPr>
        <w:tabs>
          <w:tab w:val="left" w:pos="6645"/>
        </w:tabs>
        <w:spacing w:line="276" w:lineRule="auto"/>
        <w:ind w:firstLine="709"/>
      </w:pPr>
      <w:r>
        <w:t>бюджетное учреждение Ханты-Мансийского автономного округа – Югры «Нижневартовская психоневрологическая больница» – 25 коек;</w:t>
      </w:r>
    </w:p>
    <w:p w:rsidR="00DC1467" w:rsidRDefault="00B70D3E">
      <w:pPr>
        <w:tabs>
          <w:tab w:val="left" w:pos="6645"/>
        </w:tabs>
        <w:spacing w:line="276" w:lineRule="auto"/>
        <w:ind w:firstLine="709"/>
      </w:pPr>
      <w:r>
        <w:t>бюджетное учреждение Ханты-Мансийского автономного округа – Югры «</w:t>
      </w:r>
      <w:r>
        <w:t>Советская психоневрологическая больница», филиал в г. Урае – 3 койки.</w:t>
      </w:r>
    </w:p>
    <w:p w:rsidR="00DC1467" w:rsidRDefault="00B70D3E">
      <w:pPr>
        <w:tabs>
          <w:tab w:val="left" w:pos="6645"/>
        </w:tabs>
        <w:spacing w:line="276" w:lineRule="auto"/>
        <w:ind w:firstLine="709"/>
      </w:pPr>
      <w:r>
        <w:t xml:space="preserve">После прохождения диагностики, лечения и медицинской реабилитации наркозависимые и признанные нуждающимися в социальном обслуживании направляются для прохождения социальной реабилитации </w:t>
      </w:r>
      <w:r>
        <w:t>в социальные учреждения, подведомственные Департаменту социального развития Ханты-Мансийского автономного округа – Югры, а также негосударственные реабилитационные центры, включенные в профильный реестр Департамента социальной развития Ханты-Мансийского ав</w:t>
      </w:r>
      <w:r>
        <w:t xml:space="preserve">тономного округа – Югры для прохождения социальной реабилитации и ресоциализации. </w:t>
      </w:r>
    </w:p>
    <w:p w:rsidR="00DC1467" w:rsidRDefault="00B70D3E">
      <w:pPr>
        <w:spacing w:line="276" w:lineRule="auto"/>
        <w:ind w:firstLine="709"/>
      </w:pPr>
      <w:r>
        <w:t>Для этих целей на территории автономного округа применяется Регламент взаимодействия участников комплексной реабилитации и ресоциализации граждан, в том числе несовершенноле</w:t>
      </w:r>
      <w:r>
        <w:t>тних, осуществляющих незаконное потребление наркотических средств или психотропных веществ, утвержденный приказом Департамента здравоохранения Ханты-Мансийского автономного округа – Югры, Департамента социального развития Ханты-Мансийского автономного окру</w:t>
      </w:r>
      <w:r>
        <w:t xml:space="preserve">га – Югры, Департамента труда и занятости Ханты-Мансийского автономного округа – Югры, Департамента образования и науки </w:t>
      </w:r>
      <w:r>
        <w:br/>
        <w:t xml:space="preserve">Ханты-Мансийского автономного округа – Югры </w:t>
      </w:r>
      <w:r>
        <w:rPr>
          <w:rFonts w:eastAsia="SimSun"/>
        </w:rPr>
        <w:t xml:space="preserve">от 05.02.2024 </w:t>
      </w:r>
      <w:r>
        <w:rPr>
          <w:rFonts w:eastAsia="SimSun"/>
        </w:rPr>
        <w:br/>
        <w:t>№ 182/224р/17-83/710-П-162  «Об организации комплексной межведомственной раб</w:t>
      </w:r>
      <w:r>
        <w:rPr>
          <w:rFonts w:eastAsia="SimSun"/>
        </w:rPr>
        <w:t>оты по социальной реабилитации и ресоциализации граждан, в том числе несовершеннолетних, потребляющих наркотические средства в немедицинских целях, в Ханты-Мансийском автономном округе – Югре».</w:t>
      </w:r>
    </w:p>
    <w:p w:rsidR="00DC1467" w:rsidRDefault="00B70D3E">
      <w:pPr>
        <w:spacing w:line="276" w:lineRule="auto"/>
        <w:ind w:firstLine="709"/>
      </w:pPr>
      <w:r>
        <w:t>На территории Югры условно-осужденные лица, страдающие нарколо</w:t>
      </w:r>
      <w:r>
        <w:t>гическими расстройствами, имеют возможность прохождения курса обязательного или альтернативного лечения, или медицинской реабилитации от алкоголизма, наркомании, токсикомании по решению суда в соответствии с действующим законодательством Российской Федерац</w:t>
      </w:r>
      <w:r>
        <w:t xml:space="preserve">ии. </w:t>
      </w:r>
    </w:p>
    <w:p w:rsidR="00DC1467" w:rsidRDefault="00B70D3E">
      <w:pPr>
        <w:spacing w:line="276" w:lineRule="auto"/>
        <w:ind w:firstLine="709"/>
      </w:pPr>
      <w:r>
        <w:t>Обеспечение курсов обязательного или альтернативного лечения условно-осужденных лиц, страдающих наркологическими расстройствами, осуществляется на базе медицинских организаций автономного округа, оказывающих наркологическую помощь.</w:t>
      </w:r>
    </w:p>
    <w:p w:rsidR="00DC1467" w:rsidRDefault="00B70D3E">
      <w:pPr>
        <w:tabs>
          <w:tab w:val="left" w:pos="6645"/>
        </w:tabs>
        <w:spacing w:line="276" w:lineRule="auto"/>
        <w:ind w:firstLine="709"/>
      </w:pPr>
      <w:r>
        <w:t>Кроме того, реализу</w:t>
      </w:r>
      <w:r>
        <w:t xml:space="preserve">ется совместный приказ Департамента здравоохранения Ханты-Мансийского автономного округа – Югры, Департамента социального развития Ханты-Мансийского автономного округа – Югры и Управления Министерства внутренних дел России по Ханты-Мансийскому автономного </w:t>
      </w:r>
      <w:r>
        <w:t xml:space="preserve">округа – Югре от 18.10.2016 № 1119/700-р/1022 «Об организации работы по профилактике и лечению от наркомании, медицинской и социальной реабилитации с лицами, привлеченными к административной ответственности в связи с потреблением наркотических средств или </w:t>
      </w:r>
      <w:r>
        <w:t xml:space="preserve">психотропных веществ без назначения врача» и приказ Депздрава Югры от 11.09.2015 № 962 «О внесении изменений в приказ Департамента здравоохранения Ханты-Мансийского автономного </w:t>
      </w:r>
      <w:r>
        <w:br/>
        <w:t xml:space="preserve">округа – Югры от 1012.2014 № 1249 «Об организации лечения и медико-социальной </w:t>
      </w:r>
      <w:r>
        <w:t>реабилитации больных наркоманией, совершивших нетяжкое преступление и получивших отсрочку отбывания наказания», позволившие организовать и систематизировать оказание услуг по обязательному или альтернативному лечению лиц, имеющим наркологические расстройст</w:t>
      </w:r>
      <w:r>
        <w:t>ва.</w:t>
      </w:r>
    </w:p>
    <w:p w:rsidR="00DC1467" w:rsidRDefault="00B70D3E">
      <w:pPr>
        <w:spacing w:line="276" w:lineRule="auto"/>
        <w:ind w:firstLine="709"/>
      </w:pPr>
      <w:r>
        <w:t xml:space="preserve">Организационно-методическое руководство муниципальным уровнем наркологической помощи осуществляется специализированными психоневрологическими больницами по территориальному принципу. </w:t>
      </w:r>
    </w:p>
    <w:p w:rsidR="00DC1467" w:rsidRDefault="00B70D3E">
      <w:pPr>
        <w:spacing w:line="276" w:lineRule="auto"/>
        <w:ind w:firstLine="709"/>
        <w:rPr>
          <w:u w:val="single"/>
        </w:rPr>
      </w:pPr>
      <w:r>
        <w:rPr>
          <w:u w:val="single"/>
        </w:rPr>
        <w:t>Межрайонный (второй) уровень</w:t>
      </w:r>
    </w:p>
    <w:p w:rsidR="00DC1467" w:rsidRDefault="00B70D3E">
      <w:pPr>
        <w:spacing w:line="276" w:lineRule="auto"/>
        <w:ind w:firstLine="709"/>
      </w:pPr>
      <w:r>
        <w:t>Оказание специализированной наркологиче</w:t>
      </w:r>
      <w:r>
        <w:t xml:space="preserve">ской помощи осуществляется в стационарных условиях на базе специализированных психоневрологических учреждений по территориальному принципу. </w:t>
      </w:r>
    </w:p>
    <w:p w:rsidR="00DC1467" w:rsidRDefault="00B70D3E">
      <w:pPr>
        <w:spacing w:line="276" w:lineRule="auto"/>
        <w:ind w:firstLine="709"/>
      </w:pPr>
      <w:r>
        <w:t>Также в специализированных психоневрологических учреждениях по территориальному принципу осуществляется оказание амбулаторной наркологической помощи на территории муниципального образования, в котором располагаются медицинские организации автономного округ</w:t>
      </w:r>
      <w:r>
        <w:t>а, проведение диагностических химико-токсикологических исследований биологических сред, отобранных на территории зоны охвата специализированной наркологической помощью.</w:t>
      </w:r>
    </w:p>
    <w:p w:rsidR="00DC1467" w:rsidRDefault="00B70D3E">
      <w:pPr>
        <w:spacing w:line="276" w:lineRule="auto"/>
        <w:ind w:firstLine="709"/>
        <w:rPr>
          <w:bCs/>
        </w:rPr>
      </w:pPr>
      <w:r>
        <w:t>Медицинских организаций, оказывающих наркологическую помощь</w:t>
      </w:r>
      <w:r>
        <w:rPr>
          <w:bCs/>
        </w:rPr>
        <w:t xml:space="preserve"> на втором уровне (межрайонн</w:t>
      </w:r>
      <w:r>
        <w:rPr>
          <w:bCs/>
        </w:rPr>
        <w:t>ом – межмуниципальном): пять психоневрологических больниц (г. Нижневартовск, г. Сургут, пос. Алябьево Советского района, г. Ханты-Мансийск, г. Мегион).</w:t>
      </w:r>
    </w:p>
    <w:p w:rsidR="00DC1467" w:rsidRDefault="00B70D3E">
      <w:pPr>
        <w:spacing w:line="276" w:lineRule="auto"/>
        <w:ind w:firstLine="709"/>
      </w:pPr>
      <w:r>
        <w:t>Химико-токсикологические исследования проводятся в клинических лабораториях психоневрологических учрежде</w:t>
      </w:r>
      <w:r>
        <w:t>ний:</w:t>
      </w:r>
    </w:p>
    <w:p w:rsidR="00DC1467" w:rsidRDefault="00B70D3E">
      <w:pPr>
        <w:tabs>
          <w:tab w:val="left" w:pos="1080"/>
          <w:tab w:val="left" w:pos="1260"/>
        </w:tabs>
        <w:spacing w:line="276" w:lineRule="auto"/>
        <w:ind w:firstLine="709"/>
      </w:pPr>
      <w:r>
        <w:t xml:space="preserve">бюджетное учреждение Ханты-Мансийского автономного </w:t>
      </w:r>
      <w:r>
        <w:br/>
        <w:t xml:space="preserve">округа – Югры «Нижневартовская психоневрологическая больница», </w:t>
      </w:r>
      <w:r>
        <w:br/>
        <w:t xml:space="preserve">г. Нижневартовск; </w:t>
      </w:r>
    </w:p>
    <w:p w:rsidR="00DC1467" w:rsidRDefault="00B70D3E">
      <w:pPr>
        <w:tabs>
          <w:tab w:val="left" w:pos="1080"/>
          <w:tab w:val="left" w:pos="1260"/>
        </w:tabs>
        <w:spacing w:line="276" w:lineRule="auto"/>
        <w:ind w:firstLine="709"/>
      </w:pPr>
      <w:r>
        <w:t xml:space="preserve">бюджетное учреждение Ханты-Мансийского автономного </w:t>
      </w:r>
      <w:r>
        <w:br/>
        <w:t>округа – Югры «Психоневрологическая больница имени Святой Препод</w:t>
      </w:r>
      <w:r>
        <w:t>обномученицы Елизаветы», г. Мегион;</w:t>
      </w:r>
    </w:p>
    <w:p w:rsidR="00DC1467" w:rsidRDefault="00B70D3E">
      <w:pPr>
        <w:tabs>
          <w:tab w:val="left" w:pos="1080"/>
          <w:tab w:val="left" w:pos="1260"/>
        </w:tabs>
        <w:spacing w:line="276" w:lineRule="auto"/>
        <w:ind w:firstLine="709"/>
      </w:pPr>
      <w:r>
        <w:t xml:space="preserve">бюджетное учреждение Ханты-Мансийского автономного округа – Югры «Ханты-Мансийская клиническая психоневрологическая больница», </w:t>
      </w:r>
      <w:r>
        <w:br/>
        <w:t>г. Ханты-Мансийск;</w:t>
      </w:r>
    </w:p>
    <w:p w:rsidR="00DC1467" w:rsidRDefault="00B70D3E">
      <w:pPr>
        <w:tabs>
          <w:tab w:val="left" w:pos="1080"/>
          <w:tab w:val="left" w:pos="1260"/>
        </w:tabs>
        <w:spacing w:line="276" w:lineRule="auto"/>
        <w:ind w:firstLine="709"/>
      </w:pPr>
      <w:r>
        <w:t>бюджетное учреждение Ханты-Мансийского автономного округа – Югры «Сургутс</w:t>
      </w:r>
      <w:r>
        <w:t xml:space="preserve">кая клиническая психоневрологическая больница», г. Сургут; </w:t>
      </w:r>
    </w:p>
    <w:p w:rsidR="00DC1467" w:rsidRDefault="00B70D3E">
      <w:pPr>
        <w:tabs>
          <w:tab w:val="left" w:pos="1080"/>
          <w:tab w:val="left" w:pos="1260"/>
        </w:tabs>
        <w:spacing w:line="276" w:lineRule="auto"/>
        <w:ind w:firstLine="709"/>
      </w:pPr>
      <w:r>
        <w:t>бюджетное учреждение Ханты-Мансийского автономного округа – Югры «Советская психоневрологическая больница», п. Алябьевский, Советский район.</w:t>
      </w:r>
    </w:p>
    <w:p w:rsidR="00DC1467" w:rsidRDefault="00B70D3E">
      <w:pPr>
        <w:tabs>
          <w:tab w:val="left" w:pos="1080"/>
          <w:tab w:val="left" w:pos="1260"/>
        </w:tabs>
        <w:spacing w:line="276" w:lineRule="auto"/>
        <w:ind w:firstLine="709"/>
      </w:pPr>
      <w:r>
        <w:t>Приказом Департамента здравоохранения Ханты-Мансийского</w:t>
      </w:r>
      <w:r>
        <w:t xml:space="preserve"> автономного округа – Югры от 01.04.2024 № 487 «Об организации медицинского освидетельствования граждан на состояние опьянения (алкогольного, наркотического и иного токсического) на территории </w:t>
      </w:r>
      <w:r>
        <w:br/>
        <w:t>Ханты-Мансийского автономного округа – Югры» утверждены перече</w:t>
      </w:r>
      <w:r>
        <w:t xml:space="preserve">нь медицинских организаций, обеспечивающих оказание работ и услуг по медицинскому освидетельствованию на состояние опьянения (алкогольного, наркотического или иного токсического) на территории муниципальных образований и схема маршрутизации биологического </w:t>
      </w:r>
      <w:r>
        <w:t>материала на химико-токсикологическое исследование по определению алкоголя, наркотических средств и психоактивных веществ.</w:t>
      </w:r>
    </w:p>
    <w:p w:rsidR="00DC1467" w:rsidRDefault="00B70D3E">
      <w:pPr>
        <w:tabs>
          <w:tab w:val="left" w:pos="1080"/>
          <w:tab w:val="left" w:pos="1260"/>
        </w:tabs>
        <w:spacing w:line="276" w:lineRule="auto"/>
        <w:ind w:firstLine="709"/>
      </w:pPr>
      <w:r>
        <w:t>Медицинские освидетельствования на состояние опьянения проводятся во всех пяти психоневрологических больницах и двадцати шести кабине</w:t>
      </w:r>
      <w:r>
        <w:t xml:space="preserve">тах в составе многопрофильных медицинских организаций в муниципальных образованиях автономного округа, включая территориально удаленные филиалы районных больниц, что позволяет полностью охватить всю территорию автономного округа. </w:t>
      </w:r>
    </w:p>
    <w:p w:rsidR="00DC1467" w:rsidRDefault="00B70D3E">
      <w:pPr>
        <w:tabs>
          <w:tab w:val="left" w:pos="1080"/>
          <w:tab w:val="left" w:pos="1260"/>
        </w:tabs>
        <w:spacing w:line="276" w:lineRule="auto"/>
        <w:ind w:firstLine="709"/>
      </w:pPr>
      <w:r>
        <w:t>Между шестью специализиро</w:t>
      </w:r>
      <w:r>
        <w:t>ванными медицинскими организациями, оказывающими наркологическую помощь («Ханты-Мансийская клиническая психоневрологическая больница», «Советская психоневрологическая больница», «Нижневартовская психоневрологическая больница»,  «Сургутская клиническая псих</w:t>
      </w:r>
      <w:r>
        <w:t xml:space="preserve">оневрологическая больница», </w:t>
      </w:r>
      <w:r>
        <w:rPr>
          <w:bCs/>
        </w:rPr>
        <w:t>«Психоневрологическая больница имени Святой Преподобномученицы Елизаветы» и</w:t>
      </w:r>
      <w:r>
        <w:t xml:space="preserve"> «Лемпинский наркологический реабилитационный центр»), заключены соглашения о сотрудничестве между епархиями Русской Православной Церкви, расположенными </w:t>
      </w:r>
      <w:r>
        <w:t>на территории Ханты-Мансийского автономного округа – Югры, в рамках проведения совместных профилактических мероприятий, направленных на реабилитацию и ресоциализацию лиц, страдающих наркологическими расстройствами.</w:t>
      </w:r>
    </w:p>
    <w:p w:rsidR="00DC1467" w:rsidRDefault="00B70D3E">
      <w:pPr>
        <w:spacing w:line="276" w:lineRule="auto"/>
        <w:ind w:firstLine="709"/>
      </w:pPr>
      <w:r>
        <w:t>Комплексные судебно-психиатрические экспе</w:t>
      </w:r>
      <w:r>
        <w:t>ртизы на наличие наркологических расстройств проводятся в медицинских организациях, оказывающих наркологическую помощь, имеющих лицензию на виды медицинских услуг «судебно-психиатрическая экспертиза» и «психиатрия-наркология» (психоневрологических учрежден</w:t>
      </w:r>
      <w:r>
        <w:t>иях автономного округа).</w:t>
      </w:r>
    </w:p>
    <w:p w:rsidR="00DC1467" w:rsidRDefault="00B70D3E">
      <w:pPr>
        <w:spacing w:line="276" w:lineRule="auto"/>
        <w:ind w:firstLine="709"/>
      </w:pPr>
      <w:r>
        <w:t>Организационно-методическое руководство межрайонным уровнем наркологической помощи осуществляется головной медицинской организацией наркологической службы автономного округа бюджетным учреждением Ханты-Мансийского автономного округ</w:t>
      </w:r>
      <w:r>
        <w:t>а – Югры «Сургутская клиническая психоневрологическая больница».</w:t>
      </w:r>
    </w:p>
    <w:p w:rsidR="00DC1467" w:rsidRDefault="00B70D3E">
      <w:pPr>
        <w:spacing w:line="276" w:lineRule="auto"/>
        <w:ind w:firstLine="709"/>
        <w:rPr>
          <w:u w:val="single"/>
        </w:rPr>
      </w:pPr>
      <w:r>
        <w:rPr>
          <w:u w:val="single"/>
        </w:rPr>
        <w:t>Региональный уровень (третий уровень)</w:t>
      </w:r>
    </w:p>
    <w:p w:rsidR="00DC1467" w:rsidRDefault="00B70D3E">
      <w:pPr>
        <w:spacing w:line="276" w:lineRule="auto"/>
        <w:ind w:firstLine="709"/>
      </w:pPr>
      <w:r>
        <w:t>На этом уровне специализированная наркологическая помощь оказывается в медицинской организации автономного округа бюджетным учреждением Ханты-Мансийского</w:t>
      </w:r>
      <w:r>
        <w:t xml:space="preserve"> автономного округа – Югры «Сургутская клиническая психоневрологическая больница».</w:t>
      </w:r>
    </w:p>
    <w:p w:rsidR="00DC1467" w:rsidRDefault="00B70D3E">
      <w:pPr>
        <w:spacing w:line="276" w:lineRule="auto"/>
        <w:ind w:firstLine="709"/>
      </w:pPr>
      <w:r>
        <w:t>Головным учреждением наркологической службы осуществляется организационно-методическое руководство оказанием наркологической помощи в автономном округе, осуществляется анали</w:t>
      </w:r>
      <w:r>
        <w:t xml:space="preserve">тическая и научно-исследовательская деятельность по профилю «психиатрия-наркология» совместно с профильными научно-исследовательскими учреждениями  автономного округа и других субъектов Российской Федерации, разрабатываются и апробируются новые технологии </w:t>
      </w:r>
      <w:r>
        <w:t xml:space="preserve">лечения и медицинской реабилитации наркологических больных на территории автономного округа. </w:t>
      </w:r>
    </w:p>
    <w:p w:rsidR="00DC1467" w:rsidRDefault="00B70D3E">
      <w:pPr>
        <w:spacing w:line="276" w:lineRule="auto"/>
        <w:ind w:firstLine="709"/>
      </w:pPr>
      <w:r>
        <w:t>При этом оказывается амбулаторная и стационарная наркологическая помощь в зоне охвата специализированной наркологической помощью по территориальному принципу.</w:t>
      </w:r>
    </w:p>
    <w:p w:rsidR="00DC1467" w:rsidRDefault="00B70D3E">
      <w:pPr>
        <w:spacing w:line="276" w:lineRule="auto"/>
        <w:ind w:firstLine="709"/>
      </w:pPr>
      <w:r>
        <w:t>Кро</w:t>
      </w:r>
      <w:r>
        <w:t>ме того, на территории автономного округа реализована трехуровневая система химико-токсикологического исследования биологических объектов у граждан на предмет употребления наркотических средств и психотропных веществ либо потенциально опасных веществ.</w:t>
      </w:r>
    </w:p>
    <w:p w:rsidR="00DC1467" w:rsidRDefault="00B70D3E">
      <w:pPr>
        <w:spacing w:line="276" w:lineRule="auto"/>
        <w:ind w:firstLine="709"/>
      </w:pPr>
      <w:r>
        <w:t>В со</w:t>
      </w:r>
      <w:r>
        <w:t xml:space="preserve">ответствии с приказом Депздрава Югры от 29.12.2017 № 1502 </w:t>
      </w:r>
      <w:r>
        <w:br/>
        <w:t xml:space="preserve">«О контроле качества химико-токсикологических исследований в психоневрологических больницах Ханты-Мансийского автономного </w:t>
      </w:r>
      <w:r>
        <w:br/>
        <w:t>округа – Югры» осуществляется контроль качества химико-токсикологических и</w:t>
      </w:r>
      <w:r>
        <w:t>сследований.</w:t>
      </w:r>
    </w:p>
    <w:p w:rsidR="00DC1467" w:rsidRDefault="00B70D3E">
      <w:pPr>
        <w:spacing w:line="276" w:lineRule="auto"/>
        <w:ind w:firstLine="709"/>
      </w:pPr>
      <w:r>
        <w:t>Реализация данной модели позволяет осуществлять этапы проведения химико-токсикологических исследований биологических объектов (моча, волосы, ногти и т.д.), соблюдать принципы территориальности, а также компенсировать неравномерный уровень разв</w:t>
      </w:r>
      <w:r>
        <w:t>ития химико-токсикологической диагностики на территории автономного округа.</w:t>
      </w:r>
    </w:p>
    <w:p w:rsidR="00DC1467" w:rsidRDefault="00B70D3E">
      <w:pPr>
        <w:spacing w:line="276" w:lineRule="auto"/>
        <w:ind w:firstLine="709"/>
      </w:pPr>
      <w:r>
        <w:t>Таким образом, на территории автономного округа оказание медицинской помощи по профилю «психиатрия-наркология» организовано в соответствии с действующим законодательством. Реализов</w:t>
      </w:r>
      <w:r>
        <w:t>ана трехуровневая система лечебного и реабилитационного процесса по профилю «психиатрия-наркология» с учетом климато-географических, транспортных, этно-культуральных особенностей региона. Соблюдаются принципы этапности проведения, непрерывности, комплексно</w:t>
      </w:r>
      <w:r>
        <w:t>сти лечебно-реабилитационных мероприятий. Схема маршрутизации пациентов выстроена по зональному принципу с выделением 5 зон, сконцентрированных вокруг наиболее крупных городов, медицинские организации которых обеспечивают специализированной медицинской пом</w:t>
      </w:r>
      <w:r>
        <w:t>ощью жителей близлежащих населенных пунктов с учетом транспортной доступности.</w:t>
      </w:r>
    </w:p>
    <w:p w:rsidR="00DC1467" w:rsidRDefault="00B70D3E">
      <w:pPr>
        <w:spacing w:line="276" w:lineRule="auto"/>
        <w:ind w:firstLine="709"/>
      </w:pPr>
      <w:r>
        <w:t>В автономном округе медицинская реабилитация наркологических больных осуществляется как в стационарных (на наркологических реабилитационных койках круглосуточного стационара), т</w:t>
      </w:r>
      <w:r>
        <w:t>ак и в амбулаторных условиях.</w:t>
      </w:r>
    </w:p>
    <w:p w:rsidR="00DC1467" w:rsidRDefault="00B70D3E">
      <w:pPr>
        <w:spacing w:line="276" w:lineRule="auto"/>
        <w:ind w:firstLine="709"/>
      </w:pPr>
      <w:r>
        <w:t>Медицинская помощь основной части лиц с наркологическими расстройствами, проходящих лечение по решению суда, оказывается в амбулаторных условиях.</w:t>
      </w:r>
    </w:p>
    <w:p w:rsidR="00DC1467" w:rsidRDefault="00B70D3E">
      <w:pPr>
        <w:spacing w:line="276" w:lineRule="auto"/>
        <w:ind w:firstLine="709"/>
      </w:pPr>
      <w:r>
        <w:t>Дополнительно, для оказания консультативной помощи, в том числе в виде телемедиц</w:t>
      </w:r>
      <w:r>
        <w:t xml:space="preserve">инских консультаций, привлекаются специалисты ННЦ наркологии – филиала ФГБУ «НМИЦ ПН им. В.П.Сербского» Минздрава России. </w:t>
      </w:r>
    </w:p>
    <w:p w:rsidR="00DC1467" w:rsidRDefault="00B70D3E">
      <w:pPr>
        <w:spacing w:line="276" w:lineRule="auto"/>
        <w:ind w:firstLine="709"/>
      </w:pPr>
      <w:r>
        <w:t>Выстроенная система оказания наркологической помощи автономного округа позволяет обеспечивать доступность оказания наркологической по</w:t>
      </w:r>
      <w:r>
        <w:t>мощи населению, достигать положительных тенденций в наркологической ситуации и оперативно реагировать на ее актуальные изменения.</w:t>
      </w:r>
    </w:p>
    <w:p w:rsidR="00DC1467" w:rsidRDefault="00DC1467">
      <w:pPr>
        <w:pStyle w:val="af5"/>
        <w:spacing w:after="0" w:line="276" w:lineRule="auto"/>
        <w:ind w:firstLine="709"/>
        <w:jc w:val="both"/>
        <w:rPr>
          <w:b/>
          <w:sz w:val="28"/>
          <w:szCs w:val="28"/>
        </w:rPr>
      </w:pPr>
    </w:p>
    <w:p w:rsidR="00DC1467" w:rsidRDefault="00B70D3E">
      <w:pPr>
        <w:spacing w:line="276" w:lineRule="auto"/>
        <w:ind w:firstLine="709"/>
        <w:outlineLvl w:val="0"/>
        <w:rPr>
          <w:b/>
          <w:i/>
        </w:rPr>
      </w:pPr>
      <w:r>
        <w:rPr>
          <w:b/>
          <w:i/>
        </w:rPr>
        <w:t>Анализ, оценка работы по мотивации наркопотребителей к прохождению лечения от наркозависимости, реабилитации и ресоциализации</w:t>
      </w:r>
    </w:p>
    <w:p w:rsidR="00DC1467" w:rsidRDefault="00B70D3E">
      <w:pPr>
        <w:spacing w:line="276" w:lineRule="auto"/>
        <w:ind w:firstLine="709"/>
      </w:pPr>
      <w:r>
        <w:t>В Ханты-Мансийском автономном округе – Югре медицинскими организациями, оказывающими наркологическую помощь, оказывается специализированная медицинская помощь по профилю «психиатрия-наркология» всем гражданам на общих основаниях в соответствии с федеральн</w:t>
      </w:r>
      <w:r>
        <w:t xml:space="preserve">ыми законами Российской Федерации от 21.11.2011 № 323-ФЗ </w:t>
      </w:r>
      <w:r>
        <w:br/>
        <w:t>«Об основах охраны здоровья граждан в Российской Федерации», от 02.07.1992 № 3185-1 «О психиатрической помощи и гарантиях прав граждан при её оказании», приказом Министерства здравоохранения РФ от 3</w:t>
      </w:r>
      <w:r>
        <w:t>0.12.2015 № 1034н «Об утверждении Порядка оказания медицинской помощи по профилю «психиатрия-наркология» и Порядка диспансерного наблюдения за лицами с психическими расстройствами и (или) расстройствами поведения, связанными с употреблением психоактивных в</w:t>
      </w:r>
      <w:r>
        <w:t>еществ».</w:t>
      </w:r>
    </w:p>
    <w:p w:rsidR="00DC1467" w:rsidRDefault="00B70D3E">
      <w:pPr>
        <w:tabs>
          <w:tab w:val="left" w:pos="6645"/>
        </w:tabs>
        <w:spacing w:line="276" w:lineRule="auto"/>
        <w:ind w:firstLine="709"/>
      </w:pPr>
      <w:r>
        <w:t xml:space="preserve">Стационарное и амбулаторное лечение и медицинская реабилитация лиц с наркологическими расстройствами осуществляется на бесплатной основе для пациента в рамках программы государственных гарантий оказания гражданам бесплатной медицинской помощи. </w:t>
      </w:r>
    </w:p>
    <w:p w:rsidR="00DC1467" w:rsidRDefault="00B70D3E">
      <w:pPr>
        <w:tabs>
          <w:tab w:val="left" w:pos="6645"/>
        </w:tabs>
        <w:spacing w:line="276" w:lineRule="auto"/>
        <w:ind w:firstLine="709"/>
      </w:pPr>
      <w:r>
        <w:t>Ме</w:t>
      </w:r>
      <w:r>
        <w:t xml:space="preserve">дицинскими организациями автономного округа ведется работа по медицинской реабилитации наркозависимых лиц. </w:t>
      </w:r>
    </w:p>
    <w:p w:rsidR="00DC1467" w:rsidRDefault="00B70D3E">
      <w:pPr>
        <w:tabs>
          <w:tab w:val="left" w:pos="6645"/>
        </w:tabs>
        <w:spacing w:line="276" w:lineRule="auto"/>
        <w:ind w:firstLine="709"/>
      </w:pPr>
      <w:r>
        <w:t>Количество реабилитационных коек в Югре в 2024 году составило 103, показатель сохранился на уровне 2023 года (количество реабилитационных наркологич</w:t>
      </w:r>
      <w:r>
        <w:t>еских коек составляло в 2017 году – 128; в 2018-2021 годы – 117; в 2022 году – 111 реабилитационных коек).</w:t>
      </w:r>
    </w:p>
    <w:p w:rsidR="00DC1467" w:rsidRDefault="00B70D3E">
      <w:pPr>
        <w:tabs>
          <w:tab w:val="left" w:pos="6645"/>
        </w:tabs>
        <w:spacing w:line="276" w:lineRule="auto"/>
        <w:ind w:firstLine="709"/>
      </w:pPr>
      <w:r>
        <w:t xml:space="preserve">Услуги по длительной стационарной медицинской реабилитации в автономном округе оказываются в казенном учреждении </w:t>
      </w:r>
      <w:r>
        <w:br/>
        <w:t>Ханты-Мансийского автономного округ</w:t>
      </w:r>
      <w:r>
        <w:t xml:space="preserve">а – Югры «Лемпинский наркологический реабилитационный центр», имеющем 50 коек. </w:t>
      </w:r>
    </w:p>
    <w:p w:rsidR="00DC1467" w:rsidRDefault="00B70D3E">
      <w:pPr>
        <w:tabs>
          <w:tab w:val="left" w:pos="6645"/>
        </w:tabs>
        <w:spacing w:line="276" w:lineRule="auto"/>
        <w:ind w:firstLine="709"/>
      </w:pPr>
      <w:r>
        <w:t>Кроме того, отделения с реабилитационными койками организованы в Урайском филиале Советской психоневрологической больнице (3 койки), в Сургутской клинической психоневрологическ</w:t>
      </w:r>
      <w:r>
        <w:t xml:space="preserve">ой больнице (25 коек), Нижневартовской психоневрологической больнице (25 коек). </w:t>
      </w:r>
    </w:p>
    <w:p w:rsidR="00DC1467" w:rsidRDefault="00B70D3E">
      <w:pPr>
        <w:pStyle w:val="af5"/>
        <w:spacing w:after="0" w:line="276" w:lineRule="auto"/>
        <w:ind w:firstLine="709"/>
        <w:jc w:val="both"/>
        <w:rPr>
          <w:sz w:val="28"/>
          <w:szCs w:val="28"/>
        </w:rPr>
      </w:pPr>
      <w:r>
        <w:rPr>
          <w:sz w:val="28"/>
          <w:szCs w:val="28"/>
        </w:rPr>
        <w:t>Из числа больных наркоманией, состоящих под наблюдением на конец 2024 года, находятся в ремиссии: от 6 месяцев до 1 года – 22,7 больных на 100 больных среднегодового континген</w:t>
      </w:r>
      <w:r>
        <w:rPr>
          <w:sz w:val="28"/>
          <w:szCs w:val="28"/>
        </w:rPr>
        <w:t>та с наркотической зависимостью (2023 год – 16,2 на 100 больных среднегодового контингента); от 1 года до 2 лет – 16,8 на 100 больных среднегодового контингента (2023 год – 20,0 на 100 больных среднегодового контингента); свыше 2-х лет – 17,7 на 100 больны</w:t>
      </w:r>
      <w:r>
        <w:rPr>
          <w:sz w:val="28"/>
          <w:szCs w:val="28"/>
        </w:rPr>
        <w:t>х среднегодового контингента (2023 год – 16,2 на 100 больных среднегодового контингента).</w:t>
      </w:r>
    </w:p>
    <w:p w:rsidR="00DC1467" w:rsidRDefault="00B70D3E">
      <w:pPr>
        <w:spacing w:line="276" w:lineRule="auto"/>
        <w:ind w:firstLine="709"/>
      </w:pPr>
      <w:r>
        <w:t>В 2024 году в автономном округе на наркологических и психиатрических койках пролечено 636 человек с различными наркологическими расстройствами (АППГ – 660), связанным</w:t>
      </w:r>
      <w:r>
        <w:t>и с употреблением наркотиков.</w:t>
      </w:r>
    </w:p>
    <w:p w:rsidR="00DC1467" w:rsidRDefault="00B70D3E">
      <w:pPr>
        <w:spacing w:line="276" w:lineRule="auto"/>
        <w:ind w:firstLine="709"/>
      </w:pPr>
      <w:r>
        <w:t>Из 467 пролеченных пациентов с синдромом зависимости от наркотиков и перенесших психозы вследствие употребления наркотиков, в программы стационарной реабилитации включены 85 пациентов (18,2 % от числа пролеченных, АППГ – 12,2 </w:t>
      </w:r>
      <w:r>
        <w:t>%), при этом 40 пациентов (47,1 % из числа включённых, АППГ – 50,0 %) успешно окончили курс стационарной реабилитации. Средняя длительность стационарной реабилитации составила 82,8 койко-дней (АППГ – 140,3 койко-дней).</w:t>
      </w:r>
    </w:p>
    <w:p w:rsidR="00DC1467" w:rsidRDefault="00B70D3E">
      <w:pPr>
        <w:spacing w:line="276" w:lineRule="auto"/>
        <w:ind w:firstLine="709"/>
      </w:pPr>
      <w:r>
        <w:t>Кроме того, в 2024 году 4,0 % больных</w:t>
      </w:r>
      <w:r>
        <w:t xml:space="preserve"> наркотической зависимостью (абс. 56) из числа состоящих под наблюдением в 2024 году больных с наркоманией были включены в программы амбулаторной реабилитации, 67,9 % из них успешно завершили реабилитационные программы (абс. 38 чел.). В 2023 году 4,2 % нар</w:t>
      </w:r>
      <w:r>
        <w:t>козависимых были включены (абс. 60) в амбулаторные реабилитационные программы, 58,3 % из них их завершили (абс. 35 чел.).</w:t>
      </w:r>
    </w:p>
    <w:p w:rsidR="00DC1467" w:rsidRDefault="00B70D3E">
      <w:pPr>
        <w:tabs>
          <w:tab w:val="left" w:pos="6645"/>
        </w:tabs>
        <w:spacing w:line="276" w:lineRule="auto"/>
        <w:ind w:firstLine="709"/>
      </w:pPr>
      <w:r>
        <w:t>После прохождения диагностики, лечения и медицинской реабилитации наркозависимые и признанные нуждающимися в социальном обслуживании н</w:t>
      </w:r>
      <w:r>
        <w:t>аправляются для прохождения социальной реабилитации в социальные учреждения, подведомственные Департаменту социального развития Ханты-Мансийского автономного округа – Югры, а также негосударственные реабилитационные центры, включенные в профильный реестр Д</w:t>
      </w:r>
      <w:r>
        <w:t xml:space="preserve">епартамента социальной развития Ханты-Мансийского автономного округа – Югры, для прохождения социальной реабилитации и ресоциализации. </w:t>
      </w:r>
    </w:p>
    <w:p w:rsidR="00DC1467" w:rsidRDefault="00B70D3E">
      <w:pPr>
        <w:tabs>
          <w:tab w:val="left" w:pos="6645"/>
        </w:tabs>
        <w:spacing w:line="276" w:lineRule="auto"/>
        <w:ind w:firstLine="709"/>
      </w:pPr>
      <w:r>
        <w:t>Для этих целей на территории автономного округа применяется Регламент взаимодействия участников комплексной реабилитации</w:t>
      </w:r>
      <w:r>
        <w:t xml:space="preserve"> и ресоциализации граждан, в том числе несовершеннолетних, осуществляющих незаконное потребление наркотических средств или психотропных веществ, утвержденный приказом Департамента здравоохранения Ханты-Мансийского автономного округа – Югры, Департамента со</w:t>
      </w:r>
      <w:r>
        <w:t>циального развития Ханты-Мансийского автономного округа – Югры, Департамента труда и занятости Ханты-Мансийского автономного округа – Югры, Департамента образования и науки Ханты-Мансийского автономного округа – Югры от 05.02.2024 № 182/224р/17-83/710-П-16</w:t>
      </w:r>
      <w:r>
        <w:t>2 «Об организации комплексной межведомственной работы по социальной реабилитации и ресоциализации граждан, в том числе несовершеннолетних, потребляющих наркотические средства в немедицинских целях, в Ханты-Мансийском автономном округе – Югре».</w:t>
      </w:r>
    </w:p>
    <w:p w:rsidR="00DC1467" w:rsidRDefault="00B70D3E">
      <w:pPr>
        <w:tabs>
          <w:tab w:val="left" w:pos="6645"/>
        </w:tabs>
        <w:spacing w:line="276" w:lineRule="auto"/>
        <w:ind w:firstLine="709"/>
      </w:pPr>
      <w:r>
        <w:t>Наркологичес</w:t>
      </w:r>
      <w:r>
        <w:t>кая служба Югры взаимодействует со следующими организациями в сфере социальной реабилитации и ресоциализации зависимых:</w:t>
      </w:r>
    </w:p>
    <w:p w:rsidR="00DC1467" w:rsidRDefault="00B70D3E">
      <w:pPr>
        <w:spacing w:line="276" w:lineRule="auto"/>
        <w:ind w:firstLine="709"/>
      </w:pPr>
      <w:r>
        <w:t xml:space="preserve">- государственная организация социального обслуживания, подведомственная Департаменту социального развития ХМАО-Югры: </w:t>
      </w:r>
    </w:p>
    <w:p w:rsidR="00DC1467" w:rsidRDefault="00B70D3E">
      <w:pPr>
        <w:spacing w:line="276" w:lineRule="auto"/>
        <w:ind w:firstLine="709"/>
      </w:pPr>
      <w:r>
        <w:t>- БУ ХМАО-Югры «С</w:t>
      </w:r>
      <w:r>
        <w:t>оветский районный социально-реабилитационный центр для несовершеннолетних»</w:t>
      </w:r>
      <w:r>
        <w:rPr>
          <w:rStyle w:val="af1"/>
        </w:rPr>
        <w:footnoteReference w:id="33"/>
      </w:r>
      <w:r>
        <w:t xml:space="preserve"> (50 койко-мест), Советский район, пос. Пионерский;</w:t>
      </w:r>
    </w:p>
    <w:p w:rsidR="00DC1467" w:rsidRDefault="00B70D3E">
      <w:pPr>
        <w:spacing w:line="276" w:lineRule="auto"/>
        <w:ind w:firstLine="709"/>
      </w:pPr>
      <w:r>
        <w:t>- негосударственные организации, осуществляющие социальную реабилитацию и ресоциализацию лиц, употреблявших наркотические, психот</w:t>
      </w:r>
      <w:r>
        <w:t>ропные и (или) иные токсические вещества и прошедших обследование и лечение от зависимости</w:t>
      </w:r>
      <w:r>
        <w:rPr>
          <w:rStyle w:val="af1"/>
        </w:rPr>
        <w:footnoteReference w:id="34"/>
      </w:r>
      <w:r>
        <w:t>:</w:t>
      </w:r>
    </w:p>
    <w:p w:rsidR="00DC1467" w:rsidRDefault="00B70D3E">
      <w:pPr>
        <w:spacing w:line="276" w:lineRule="auto"/>
        <w:ind w:firstLine="709"/>
      </w:pPr>
      <w:r>
        <w:t>- автономная некоммерческая организация «Центр социальной реабилитации «Феникс», г. Нижневартовск (на 35 койко-мест)</w:t>
      </w:r>
      <w:r>
        <w:rPr>
          <w:rStyle w:val="af1"/>
        </w:rPr>
        <w:footnoteReference w:id="35"/>
      </w:r>
      <w:r>
        <w:t>;</w:t>
      </w:r>
    </w:p>
    <w:p w:rsidR="00DC1467" w:rsidRDefault="00B70D3E">
      <w:pPr>
        <w:spacing w:line="276" w:lineRule="auto"/>
        <w:ind w:firstLine="709"/>
      </w:pPr>
      <w:r>
        <w:t>- региональная общественная организация по п</w:t>
      </w:r>
      <w:r>
        <w:t>рофилактике и реабилитации лиц, страдающих заболеваниями наркоманией и алкоголизмом «Чистый путь» (реабилитационный центр «Гармония», полустационарное социальное обслуживание на 110 мест), г. Сургут</w:t>
      </w:r>
      <w:r>
        <w:rPr>
          <w:rStyle w:val="af1"/>
        </w:rPr>
        <w:footnoteReference w:id="36"/>
      </w:r>
      <w:r>
        <w:t xml:space="preserve">; </w:t>
      </w:r>
    </w:p>
    <w:p w:rsidR="00DC1467" w:rsidRDefault="00B70D3E">
      <w:pPr>
        <w:spacing w:line="276" w:lineRule="auto"/>
        <w:ind w:firstLine="709"/>
      </w:pPr>
      <w:r>
        <w:t>- Региональная благотворительная общественная организа</w:t>
      </w:r>
      <w:r>
        <w:t>ция социальной адаптации граждан «Фавор» Ханты-Мансийского автономного округа – Югры (полустационарное социальное обслуживание на 25 мест для совершеннолетних), регистрация – г. Ханты-Мансийск</w:t>
      </w:r>
      <w:r>
        <w:rPr>
          <w:rStyle w:val="af1"/>
        </w:rPr>
        <w:footnoteReference w:id="37"/>
      </w:r>
      <w:r>
        <w:t>;</w:t>
      </w:r>
    </w:p>
    <w:p w:rsidR="00DC1467" w:rsidRDefault="00B70D3E">
      <w:pPr>
        <w:spacing w:line="276" w:lineRule="auto"/>
        <w:ind w:firstLine="709"/>
      </w:pPr>
      <w:r>
        <w:t>- Благотворительный Фонд социальной и духовной помощи «Вефиль</w:t>
      </w:r>
      <w:r>
        <w:t>» (г. Югорск)</w:t>
      </w:r>
      <w:r>
        <w:rPr>
          <w:rStyle w:val="af1"/>
        </w:rPr>
        <w:footnoteReference w:id="38"/>
      </w:r>
      <w:r>
        <w:t>;</w:t>
      </w:r>
    </w:p>
    <w:p w:rsidR="00DC1467" w:rsidRDefault="00B70D3E">
      <w:pPr>
        <w:spacing w:line="276" w:lineRule="auto"/>
        <w:ind w:firstLine="709"/>
      </w:pPr>
      <w:r>
        <w:t>- Благотворительный фонд социальной и духовной помощи «Возрождение» (г. Нягань).</w:t>
      </w:r>
    </w:p>
    <w:p w:rsidR="00DC1467" w:rsidRDefault="00B70D3E">
      <w:pPr>
        <w:spacing w:line="276" w:lineRule="auto"/>
        <w:ind w:firstLine="709"/>
      </w:pPr>
      <w:r>
        <w:t>На территории автономного округа условно-осужденные лица, страдающие наркологическими расстройствами, имеют возможность прохождения курса обязательного или аль</w:t>
      </w:r>
      <w:r>
        <w:t xml:space="preserve">тернативного лечения, или медицинской реабилитации от алкоголизма, наркомании, токсикомании по решению суда в соответствии с действующим законодательством Российской Федерации. </w:t>
      </w:r>
    </w:p>
    <w:p w:rsidR="00DC1467" w:rsidRDefault="00B70D3E">
      <w:pPr>
        <w:pStyle w:val="af5"/>
        <w:spacing w:after="0" w:line="276" w:lineRule="auto"/>
        <w:ind w:firstLine="709"/>
        <w:jc w:val="both"/>
        <w:rPr>
          <w:sz w:val="28"/>
          <w:szCs w:val="28"/>
        </w:rPr>
      </w:pPr>
      <w:r>
        <w:rPr>
          <w:sz w:val="28"/>
          <w:szCs w:val="28"/>
        </w:rPr>
        <w:t>Так, в течение 2024 года обратились в связи с</w:t>
      </w:r>
      <w:r>
        <w:rPr>
          <w:sz w:val="28"/>
          <w:szCs w:val="28"/>
        </w:rPr>
        <w:t xml:space="preserve"> решением суда о назначении обязательного или альтернативного лечения 87 человек с синдромом зависимости от наркотиков (АППГ – 105 человек). Успешно закончивших такое лечение – 83 человека, или 78,3 %, от числа прекративших обязательное или альтернативное </w:t>
      </w:r>
      <w:r>
        <w:rPr>
          <w:sz w:val="28"/>
          <w:szCs w:val="28"/>
        </w:rPr>
        <w:t>лечение – 106 чел. В 2023 году успешно завершили лечение 88 человек, или 72,7 % от числа окончивших лечение (абс. 121). Прервавших лечение и отказавшихся его проходить в 2024 году – 23 человека (21,7 % от количества окончивших лечение), в 2023 году – 33 че</w:t>
      </w:r>
      <w:r>
        <w:rPr>
          <w:sz w:val="28"/>
          <w:szCs w:val="28"/>
        </w:rPr>
        <w:t xml:space="preserve">ловека, или 27,3 % от количества окончивших лечение. Продолжили лечение на конец года 28 человек (2023 г. – 47 человек). </w:t>
      </w:r>
    </w:p>
    <w:p w:rsidR="00DC1467" w:rsidRDefault="00B70D3E">
      <w:pPr>
        <w:pStyle w:val="af5"/>
        <w:spacing w:after="0" w:line="276" w:lineRule="auto"/>
        <w:ind w:firstLine="709"/>
        <w:jc w:val="both"/>
        <w:rPr>
          <w:sz w:val="28"/>
          <w:szCs w:val="28"/>
        </w:rPr>
      </w:pPr>
      <w:r>
        <w:rPr>
          <w:sz w:val="28"/>
          <w:szCs w:val="28"/>
        </w:rPr>
        <w:t>Данная динамика позволяет судить об эффективности работы медицинских организаций по мотивированию к прохождению диагностики, лечения и</w:t>
      </w:r>
      <w:r>
        <w:rPr>
          <w:sz w:val="28"/>
          <w:szCs w:val="28"/>
        </w:rPr>
        <w:t xml:space="preserve"> медицинской реабилитации наркозависимых лиц.</w:t>
      </w:r>
    </w:p>
    <w:p w:rsidR="00DC1467" w:rsidRDefault="00DC1467">
      <w:pPr>
        <w:pStyle w:val="af5"/>
        <w:spacing w:after="0" w:line="276" w:lineRule="auto"/>
        <w:ind w:firstLine="709"/>
        <w:jc w:val="both"/>
        <w:rPr>
          <w:b/>
          <w:i/>
          <w:sz w:val="28"/>
          <w:szCs w:val="28"/>
          <w:highlight w:val="yellow"/>
        </w:rPr>
      </w:pPr>
    </w:p>
    <w:p w:rsidR="00DC1467" w:rsidRDefault="00DC1467">
      <w:pPr>
        <w:spacing w:line="276" w:lineRule="auto"/>
        <w:ind w:firstLine="709"/>
        <w:outlineLvl w:val="1"/>
        <w:rPr>
          <w:b/>
          <w:highlight w:val="yellow"/>
        </w:rPr>
        <w:sectPr w:rsidR="00DC1467">
          <w:pgSz w:w="11906" w:h="16838"/>
          <w:pgMar w:top="1134" w:right="851" w:bottom="1134" w:left="1701" w:header="709" w:footer="709" w:gutter="0"/>
          <w:cols w:space="708"/>
          <w:docGrid w:linePitch="360"/>
        </w:sectPr>
      </w:pPr>
    </w:p>
    <w:p w:rsidR="00DC1467" w:rsidRDefault="00B70D3E">
      <w:pPr>
        <w:spacing w:line="276" w:lineRule="auto"/>
        <w:ind w:firstLine="709"/>
        <w:outlineLvl w:val="1"/>
        <w:rPr>
          <w:b/>
        </w:rPr>
      </w:pPr>
      <w:r>
        <w:rPr>
          <w:b/>
        </w:rPr>
        <w:t>4. Анализ, оценка и динамика результатов деятельности в сфере профилактики потребления наркотиков в немедицинских целях</w:t>
      </w:r>
    </w:p>
    <w:p w:rsidR="00DC1467" w:rsidRDefault="00DC1467">
      <w:pPr>
        <w:pStyle w:val="af5"/>
        <w:spacing w:after="0" w:line="276" w:lineRule="auto"/>
        <w:ind w:firstLine="709"/>
        <w:jc w:val="both"/>
        <w:rPr>
          <w:b/>
          <w:sz w:val="28"/>
          <w:szCs w:val="28"/>
        </w:rPr>
      </w:pPr>
    </w:p>
    <w:p w:rsidR="00DC1467" w:rsidRDefault="00B70D3E">
      <w:pPr>
        <w:spacing w:line="276" w:lineRule="auto"/>
        <w:ind w:firstLine="709"/>
        <w:contextualSpacing/>
        <w:rPr>
          <w:lang w:eastAsia="en-US"/>
        </w:rPr>
      </w:pPr>
      <w:r>
        <w:rPr>
          <w:rFonts w:eastAsia="Calibri"/>
        </w:rPr>
        <w:t>Для реализации мероприятий по формированию здорового образа жизни на тер</w:t>
      </w:r>
      <w:r>
        <w:rPr>
          <w:rFonts w:eastAsia="Calibri"/>
        </w:rPr>
        <w:t xml:space="preserve">ритории Ханты-Мансийского автономного округа – Югры сформирована </w:t>
      </w:r>
      <w:r>
        <w:rPr>
          <w:rFonts w:eastAsia="Calibri"/>
          <w:i/>
        </w:rPr>
        <w:t>система медицинской профилактики</w:t>
      </w:r>
      <w:r>
        <w:rPr>
          <w:rFonts w:eastAsia="Calibri"/>
        </w:rPr>
        <w:t>, включающая</w:t>
      </w:r>
      <w:r>
        <w:t xml:space="preserve"> бюджетное учреждение Ханты-Мансийского автономного округа – Югры «Цен</w:t>
      </w:r>
      <w:r>
        <w:t xml:space="preserve">тр общественного здоровья и медицинской профилактики» (далее – Центр общественного здоровья и медицинской профилактики) с 3 филиалами в городах Сургут, Нижневартовск и Нефтеюганск, 5 центров здоровья (в том числе 3 центра здоровья для детского населения). </w:t>
      </w:r>
    </w:p>
    <w:p w:rsidR="00DC1467" w:rsidRDefault="00B70D3E">
      <w:pPr>
        <w:spacing w:line="276" w:lineRule="auto"/>
        <w:ind w:firstLine="709"/>
        <w:contextualSpacing/>
        <w:rPr>
          <w:rFonts w:eastAsia="Calibri"/>
        </w:rPr>
      </w:pPr>
      <w:r>
        <w:t>Кроме того, в медицинских организациях функционируют 19 отделений и 35 кабинетов медицинской профилактики, на базе 26 медицинских организаций созданы и функционируют кабинеты медицинской помощи при отказе от курения.</w:t>
      </w:r>
    </w:p>
    <w:p w:rsidR="00DC1467" w:rsidRDefault="00B70D3E">
      <w:pPr>
        <w:spacing w:line="276" w:lineRule="auto"/>
        <w:ind w:firstLine="709"/>
        <w:contextualSpacing/>
      </w:pPr>
      <w:r>
        <w:t>Динамика обращений в действующие центр</w:t>
      </w:r>
      <w:r>
        <w:t xml:space="preserve">ы здоровья в рамках реализации мероприятий по формированию здорового образа жизни </w:t>
      </w:r>
      <w:r>
        <w:br/>
        <w:t>за 2023-2024 гг. представлена в табл. 4.</w:t>
      </w:r>
    </w:p>
    <w:p w:rsidR="00DC1467" w:rsidRDefault="00B70D3E">
      <w:pPr>
        <w:spacing w:line="276" w:lineRule="auto"/>
        <w:ind w:firstLine="709"/>
        <w:contextualSpacing/>
        <w:jc w:val="right"/>
      </w:pPr>
      <w:r>
        <w:t xml:space="preserve">Таблица 4 </w:t>
      </w:r>
    </w:p>
    <w:p w:rsidR="00DC1467" w:rsidRDefault="00B70D3E">
      <w:pPr>
        <w:spacing w:line="276" w:lineRule="auto"/>
        <w:ind w:firstLine="709"/>
        <w:contextualSpacing/>
        <w:jc w:val="center"/>
        <w:rPr>
          <w:b/>
        </w:rPr>
      </w:pPr>
      <w:r>
        <w:rPr>
          <w:b/>
        </w:rPr>
        <w:t>Количество обращений в действующие центры здоровья в рамках реализации мероприятий по формированию здорового образа жизни</w:t>
      </w:r>
      <w:r>
        <w:rPr>
          <w:b/>
        </w:rPr>
        <w:t xml:space="preserve"> </w:t>
      </w:r>
      <w:r>
        <w:rPr>
          <w:b/>
        </w:rPr>
        <w:br/>
        <w:t>за 2023-2024 годы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5"/>
        <w:gridCol w:w="1489"/>
        <w:gridCol w:w="1736"/>
      </w:tblGrid>
      <w:tr w:rsidR="00DC1467">
        <w:trPr>
          <w:trHeight w:val="227"/>
          <w:tblHeader/>
        </w:trPr>
        <w:tc>
          <w:tcPr>
            <w:tcW w:w="3315" w:type="pct"/>
            <w:tcBorders>
              <w:top w:val="single" w:sz="4" w:space="0" w:color="auto"/>
              <w:left w:val="single" w:sz="4" w:space="0" w:color="auto"/>
              <w:bottom w:val="single" w:sz="4" w:space="0" w:color="auto"/>
              <w:right w:val="single" w:sz="4" w:space="0" w:color="auto"/>
            </w:tcBorders>
            <w:shd w:val="clear" w:color="auto" w:fill="auto"/>
          </w:tcPr>
          <w:p w:rsidR="00DC1467" w:rsidRDefault="00B70D3E">
            <w:pPr>
              <w:spacing w:line="240" w:lineRule="auto"/>
              <w:ind w:firstLine="0"/>
              <w:rPr>
                <w:rFonts w:eastAsia="Calibri"/>
                <w:b/>
                <w:sz w:val="24"/>
                <w:szCs w:val="24"/>
              </w:rPr>
            </w:pPr>
            <w:r>
              <w:rPr>
                <w:rFonts w:eastAsia="Calibri"/>
                <w:b/>
                <w:sz w:val="24"/>
                <w:szCs w:val="24"/>
              </w:rPr>
              <w:t>Наименование показателя</w:t>
            </w:r>
          </w:p>
        </w:tc>
        <w:tc>
          <w:tcPr>
            <w:tcW w:w="778" w:type="pct"/>
            <w:tcBorders>
              <w:top w:val="single" w:sz="4" w:space="0" w:color="auto"/>
              <w:left w:val="single" w:sz="4" w:space="0" w:color="auto"/>
              <w:bottom w:val="single" w:sz="4" w:space="0" w:color="auto"/>
              <w:right w:val="single" w:sz="4" w:space="0" w:color="auto"/>
            </w:tcBorders>
            <w:shd w:val="clear" w:color="auto" w:fill="auto"/>
          </w:tcPr>
          <w:p w:rsidR="00DC1467" w:rsidRDefault="00B70D3E">
            <w:pPr>
              <w:spacing w:line="240" w:lineRule="auto"/>
              <w:ind w:firstLine="0"/>
              <w:jc w:val="center"/>
              <w:rPr>
                <w:rFonts w:eastAsia="Calibri"/>
                <w:b/>
                <w:sz w:val="24"/>
                <w:szCs w:val="24"/>
              </w:rPr>
            </w:pPr>
            <w:r>
              <w:rPr>
                <w:rFonts w:eastAsia="Calibri"/>
                <w:b/>
                <w:sz w:val="24"/>
                <w:szCs w:val="24"/>
              </w:rPr>
              <w:t>2023 г.</w:t>
            </w:r>
          </w:p>
        </w:tc>
        <w:tc>
          <w:tcPr>
            <w:tcW w:w="907" w:type="pct"/>
            <w:tcBorders>
              <w:top w:val="single" w:sz="4" w:space="0" w:color="auto"/>
              <w:left w:val="single" w:sz="4" w:space="0" w:color="auto"/>
              <w:bottom w:val="single" w:sz="4" w:space="0" w:color="auto"/>
              <w:right w:val="single" w:sz="4" w:space="0" w:color="auto"/>
            </w:tcBorders>
          </w:tcPr>
          <w:p w:rsidR="00DC1467" w:rsidRDefault="00B70D3E">
            <w:pPr>
              <w:spacing w:line="240" w:lineRule="auto"/>
              <w:ind w:firstLine="0"/>
              <w:jc w:val="center"/>
              <w:rPr>
                <w:rFonts w:eastAsia="Calibri"/>
                <w:b/>
                <w:sz w:val="24"/>
                <w:szCs w:val="24"/>
              </w:rPr>
            </w:pPr>
            <w:r>
              <w:rPr>
                <w:rFonts w:eastAsia="Calibri"/>
                <w:b/>
                <w:sz w:val="24"/>
                <w:szCs w:val="24"/>
              </w:rPr>
              <w:t>2024 г.</w:t>
            </w:r>
          </w:p>
        </w:tc>
      </w:tr>
      <w:tr w:rsidR="00DC1467">
        <w:trPr>
          <w:trHeight w:val="227"/>
        </w:trPr>
        <w:tc>
          <w:tcPr>
            <w:tcW w:w="3315" w:type="pct"/>
            <w:tcBorders>
              <w:top w:val="single" w:sz="4" w:space="0" w:color="auto"/>
              <w:left w:val="single" w:sz="4" w:space="0" w:color="auto"/>
              <w:bottom w:val="single" w:sz="4" w:space="0" w:color="auto"/>
              <w:right w:val="single" w:sz="4" w:space="0" w:color="auto"/>
            </w:tcBorders>
            <w:shd w:val="clear" w:color="auto" w:fill="auto"/>
          </w:tcPr>
          <w:p w:rsidR="00DC1467" w:rsidRDefault="00B70D3E">
            <w:pPr>
              <w:spacing w:line="240" w:lineRule="auto"/>
              <w:ind w:firstLine="0"/>
              <w:rPr>
                <w:rFonts w:eastAsia="Calibri"/>
                <w:sz w:val="24"/>
                <w:szCs w:val="24"/>
              </w:rPr>
            </w:pPr>
            <w:r>
              <w:rPr>
                <w:rFonts w:eastAsia="Calibri"/>
                <w:sz w:val="24"/>
                <w:szCs w:val="24"/>
              </w:rPr>
              <w:t>Количество обратившихся</w:t>
            </w:r>
          </w:p>
        </w:tc>
        <w:tc>
          <w:tcPr>
            <w:tcW w:w="778" w:type="pct"/>
            <w:tcBorders>
              <w:top w:val="single" w:sz="4" w:space="0" w:color="auto"/>
              <w:left w:val="single" w:sz="4" w:space="0" w:color="auto"/>
              <w:bottom w:val="single" w:sz="4" w:space="0" w:color="auto"/>
              <w:right w:val="single" w:sz="4" w:space="0" w:color="auto"/>
            </w:tcBorders>
            <w:shd w:val="clear" w:color="auto" w:fill="auto"/>
          </w:tcPr>
          <w:p w:rsidR="00DC1467" w:rsidRDefault="00B70D3E">
            <w:pPr>
              <w:spacing w:line="240" w:lineRule="auto"/>
              <w:ind w:firstLine="0"/>
              <w:jc w:val="center"/>
              <w:rPr>
                <w:rFonts w:eastAsia="Calibri"/>
                <w:sz w:val="24"/>
                <w:szCs w:val="24"/>
              </w:rPr>
            </w:pPr>
            <w:r>
              <w:rPr>
                <w:rFonts w:eastAsia="Calibri"/>
                <w:sz w:val="24"/>
                <w:szCs w:val="24"/>
              </w:rPr>
              <w:t>17 606</w:t>
            </w:r>
          </w:p>
        </w:tc>
        <w:tc>
          <w:tcPr>
            <w:tcW w:w="907" w:type="pct"/>
            <w:tcBorders>
              <w:top w:val="single" w:sz="4" w:space="0" w:color="auto"/>
              <w:left w:val="single" w:sz="4" w:space="0" w:color="auto"/>
              <w:bottom w:val="single" w:sz="4" w:space="0" w:color="auto"/>
              <w:right w:val="single" w:sz="4" w:space="0" w:color="auto"/>
            </w:tcBorders>
          </w:tcPr>
          <w:p w:rsidR="00DC1467" w:rsidRDefault="00B70D3E">
            <w:pPr>
              <w:spacing w:line="240" w:lineRule="auto"/>
              <w:ind w:firstLine="0"/>
              <w:jc w:val="center"/>
              <w:rPr>
                <w:rFonts w:eastAsia="Calibri"/>
                <w:sz w:val="24"/>
                <w:szCs w:val="24"/>
              </w:rPr>
            </w:pPr>
            <w:r>
              <w:rPr>
                <w:rFonts w:eastAsia="Calibri"/>
                <w:sz w:val="24"/>
                <w:szCs w:val="24"/>
              </w:rPr>
              <w:t>15 116</w:t>
            </w:r>
          </w:p>
        </w:tc>
      </w:tr>
      <w:tr w:rsidR="00DC1467">
        <w:trPr>
          <w:trHeight w:val="227"/>
        </w:trPr>
        <w:tc>
          <w:tcPr>
            <w:tcW w:w="3315" w:type="pct"/>
            <w:tcBorders>
              <w:top w:val="single" w:sz="4" w:space="0" w:color="auto"/>
              <w:left w:val="single" w:sz="4" w:space="0" w:color="auto"/>
              <w:bottom w:val="single" w:sz="4" w:space="0" w:color="auto"/>
              <w:right w:val="single" w:sz="4" w:space="0" w:color="auto"/>
            </w:tcBorders>
            <w:shd w:val="clear" w:color="auto" w:fill="auto"/>
          </w:tcPr>
          <w:p w:rsidR="00DC1467" w:rsidRDefault="00B70D3E">
            <w:pPr>
              <w:spacing w:line="240" w:lineRule="auto"/>
              <w:ind w:firstLine="0"/>
              <w:rPr>
                <w:rFonts w:eastAsia="Calibri"/>
                <w:sz w:val="24"/>
                <w:szCs w:val="24"/>
              </w:rPr>
            </w:pPr>
            <w:r>
              <w:rPr>
                <w:rFonts w:eastAsia="Calibri"/>
                <w:sz w:val="24"/>
                <w:szCs w:val="24"/>
              </w:rPr>
              <w:t>из них детей</w:t>
            </w:r>
          </w:p>
        </w:tc>
        <w:tc>
          <w:tcPr>
            <w:tcW w:w="778" w:type="pct"/>
            <w:tcBorders>
              <w:top w:val="single" w:sz="4" w:space="0" w:color="auto"/>
              <w:left w:val="single" w:sz="4" w:space="0" w:color="auto"/>
              <w:bottom w:val="single" w:sz="4" w:space="0" w:color="auto"/>
              <w:right w:val="single" w:sz="4" w:space="0" w:color="auto"/>
            </w:tcBorders>
            <w:shd w:val="clear" w:color="auto" w:fill="auto"/>
          </w:tcPr>
          <w:p w:rsidR="00DC1467" w:rsidRDefault="00B70D3E">
            <w:pPr>
              <w:spacing w:line="240" w:lineRule="auto"/>
              <w:ind w:firstLine="0"/>
              <w:jc w:val="center"/>
              <w:rPr>
                <w:rFonts w:eastAsia="Calibri"/>
                <w:sz w:val="24"/>
                <w:szCs w:val="24"/>
              </w:rPr>
            </w:pPr>
            <w:r>
              <w:rPr>
                <w:rFonts w:eastAsia="Calibri"/>
                <w:sz w:val="24"/>
                <w:szCs w:val="24"/>
              </w:rPr>
              <w:t>5 838</w:t>
            </w:r>
          </w:p>
        </w:tc>
        <w:tc>
          <w:tcPr>
            <w:tcW w:w="907" w:type="pct"/>
            <w:tcBorders>
              <w:top w:val="single" w:sz="4" w:space="0" w:color="auto"/>
              <w:left w:val="single" w:sz="4" w:space="0" w:color="auto"/>
              <w:bottom w:val="single" w:sz="4" w:space="0" w:color="auto"/>
              <w:right w:val="single" w:sz="4" w:space="0" w:color="auto"/>
            </w:tcBorders>
          </w:tcPr>
          <w:p w:rsidR="00DC1467" w:rsidRDefault="00B70D3E">
            <w:pPr>
              <w:spacing w:line="240" w:lineRule="auto"/>
              <w:ind w:firstLine="0"/>
              <w:jc w:val="center"/>
              <w:rPr>
                <w:rFonts w:eastAsia="Calibri"/>
                <w:sz w:val="24"/>
                <w:szCs w:val="24"/>
              </w:rPr>
            </w:pPr>
            <w:r>
              <w:rPr>
                <w:rFonts w:eastAsia="Calibri"/>
                <w:sz w:val="24"/>
                <w:szCs w:val="24"/>
              </w:rPr>
              <w:t>5 711</w:t>
            </w:r>
          </w:p>
        </w:tc>
      </w:tr>
      <w:tr w:rsidR="00DC1467">
        <w:trPr>
          <w:trHeight w:val="227"/>
        </w:trPr>
        <w:tc>
          <w:tcPr>
            <w:tcW w:w="3315" w:type="pct"/>
            <w:tcBorders>
              <w:top w:val="single" w:sz="4" w:space="0" w:color="auto"/>
              <w:left w:val="single" w:sz="4" w:space="0" w:color="auto"/>
              <w:bottom w:val="single" w:sz="4" w:space="0" w:color="auto"/>
              <w:right w:val="single" w:sz="4" w:space="0" w:color="auto"/>
            </w:tcBorders>
            <w:shd w:val="clear" w:color="auto" w:fill="auto"/>
          </w:tcPr>
          <w:p w:rsidR="00DC1467" w:rsidRDefault="00B70D3E">
            <w:pPr>
              <w:spacing w:line="240" w:lineRule="auto"/>
              <w:ind w:firstLine="0"/>
              <w:rPr>
                <w:rFonts w:eastAsia="Calibri"/>
                <w:sz w:val="24"/>
                <w:szCs w:val="24"/>
              </w:rPr>
            </w:pPr>
            <w:r>
              <w:rPr>
                <w:rFonts w:eastAsia="Calibri"/>
                <w:sz w:val="24"/>
                <w:szCs w:val="24"/>
              </w:rPr>
              <w:t>Признано здоровыми</w:t>
            </w:r>
          </w:p>
        </w:tc>
        <w:tc>
          <w:tcPr>
            <w:tcW w:w="778" w:type="pct"/>
            <w:tcBorders>
              <w:top w:val="single" w:sz="4" w:space="0" w:color="auto"/>
              <w:left w:val="single" w:sz="4" w:space="0" w:color="auto"/>
              <w:bottom w:val="single" w:sz="4" w:space="0" w:color="auto"/>
              <w:right w:val="single" w:sz="4" w:space="0" w:color="auto"/>
            </w:tcBorders>
            <w:shd w:val="clear" w:color="auto" w:fill="auto"/>
          </w:tcPr>
          <w:p w:rsidR="00DC1467" w:rsidRDefault="00B70D3E">
            <w:pPr>
              <w:spacing w:line="240" w:lineRule="auto"/>
              <w:ind w:firstLine="0"/>
              <w:jc w:val="center"/>
              <w:rPr>
                <w:rFonts w:eastAsia="Calibri"/>
                <w:sz w:val="24"/>
                <w:szCs w:val="24"/>
              </w:rPr>
            </w:pPr>
            <w:r>
              <w:rPr>
                <w:rFonts w:eastAsia="Calibri"/>
                <w:sz w:val="24"/>
                <w:szCs w:val="24"/>
              </w:rPr>
              <w:t>4 319</w:t>
            </w:r>
          </w:p>
        </w:tc>
        <w:tc>
          <w:tcPr>
            <w:tcW w:w="907" w:type="pct"/>
            <w:tcBorders>
              <w:top w:val="single" w:sz="4" w:space="0" w:color="auto"/>
              <w:left w:val="single" w:sz="4" w:space="0" w:color="auto"/>
              <w:bottom w:val="single" w:sz="4" w:space="0" w:color="auto"/>
              <w:right w:val="single" w:sz="4" w:space="0" w:color="auto"/>
            </w:tcBorders>
          </w:tcPr>
          <w:p w:rsidR="00DC1467" w:rsidRDefault="00B70D3E">
            <w:pPr>
              <w:spacing w:line="240" w:lineRule="auto"/>
              <w:ind w:firstLine="0"/>
              <w:jc w:val="center"/>
              <w:rPr>
                <w:rFonts w:eastAsia="Calibri"/>
                <w:sz w:val="24"/>
                <w:szCs w:val="24"/>
              </w:rPr>
            </w:pPr>
            <w:r>
              <w:rPr>
                <w:rFonts w:eastAsia="Calibri"/>
                <w:sz w:val="24"/>
                <w:szCs w:val="24"/>
              </w:rPr>
              <w:t>4 637</w:t>
            </w:r>
          </w:p>
        </w:tc>
      </w:tr>
      <w:tr w:rsidR="00DC1467">
        <w:trPr>
          <w:trHeight w:val="227"/>
        </w:trPr>
        <w:tc>
          <w:tcPr>
            <w:tcW w:w="3315" w:type="pct"/>
            <w:tcBorders>
              <w:top w:val="single" w:sz="4" w:space="0" w:color="auto"/>
              <w:left w:val="single" w:sz="4" w:space="0" w:color="auto"/>
              <w:bottom w:val="single" w:sz="4" w:space="0" w:color="auto"/>
              <w:right w:val="single" w:sz="4" w:space="0" w:color="auto"/>
            </w:tcBorders>
            <w:shd w:val="clear" w:color="auto" w:fill="auto"/>
          </w:tcPr>
          <w:p w:rsidR="00DC1467" w:rsidRDefault="00B70D3E">
            <w:pPr>
              <w:spacing w:line="240" w:lineRule="auto"/>
              <w:ind w:firstLine="0"/>
              <w:rPr>
                <w:rFonts w:eastAsia="Calibri"/>
                <w:sz w:val="24"/>
                <w:szCs w:val="24"/>
              </w:rPr>
            </w:pPr>
            <w:r>
              <w:rPr>
                <w:rFonts w:eastAsia="Calibri"/>
                <w:sz w:val="24"/>
                <w:szCs w:val="24"/>
              </w:rPr>
              <w:t>из них детей</w:t>
            </w:r>
          </w:p>
        </w:tc>
        <w:tc>
          <w:tcPr>
            <w:tcW w:w="778" w:type="pct"/>
            <w:tcBorders>
              <w:top w:val="single" w:sz="4" w:space="0" w:color="auto"/>
              <w:left w:val="single" w:sz="4" w:space="0" w:color="auto"/>
              <w:bottom w:val="single" w:sz="4" w:space="0" w:color="auto"/>
              <w:right w:val="single" w:sz="4" w:space="0" w:color="auto"/>
            </w:tcBorders>
            <w:shd w:val="clear" w:color="auto" w:fill="auto"/>
          </w:tcPr>
          <w:p w:rsidR="00DC1467" w:rsidRDefault="00B70D3E">
            <w:pPr>
              <w:spacing w:line="240" w:lineRule="auto"/>
              <w:ind w:firstLine="0"/>
              <w:jc w:val="center"/>
              <w:rPr>
                <w:rFonts w:eastAsia="Calibri"/>
                <w:sz w:val="24"/>
                <w:szCs w:val="24"/>
              </w:rPr>
            </w:pPr>
            <w:r>
              <w:rPr>
                <w:rFonts w:eastAsia="Calibri"/>
                <w:sz w:val="24"/>
                <w:szCs w:val="24"/>
              </w:rPr>
              <w:t>1 841</w:t>
            </w:r>
          </w:p>
        </w:tc>
        <w:tc>
          <w:tcPr>
            <w:tcW w:w="907" w:type="pct"/>
            <w:tcBorders>
              <w:top w:val="single" w:sz="4" w:space="0" w:color="auto"/>
              <w:left w:val="single" w:sz="4" w:space="0" w:color="auto"/>
              <w:bottom w:val="single" w:sz="4" w:space="0" w:color="auto"/>
              <w:right w:val="single" w:sz="4" w:space="0" w:color="auto"/>
            </w:tcBorders>
          </w:tcPr>
          <w:p w:rsidR="00DC1467" w:rsidRDefault="00B70D3E">
            <w:pPr>
              <w:spacing w:line="240" w:lineRule="auto"/>
              <w:ind w:firstLine="0"/>
              <w:jc w:val="center"/>
              <w:rPr>
                <w:rFonts w:eastAsia="Calibri"/>
                <w:sz w:val="24"/>
                <w:szCs w:val="24"/>
              </w:rPr>
            </w:pPr>
            <w:r>
              <w:rPr>
                <w:rFonts w:eastAsia="Calibri"/>
                <w:sz w:val="24"/>
                <w:szCs w:val="24"/>
              </w:rPr>
              <w:t>2 041</w:t>
            </w:r>
          </w:p>
        </w:tc>
      </w:tr>
      <w:tr w:rsidR="00DC1467">
        <w:trPr>
          <w:trHeight w:val="227"/>
        </w:trPr>
        <w:tc>
          <w:tcPr>
            <w:tcW w:w="3315" w:type="pct"/>
            <w:tcBorders>
              <w:top w:val="single" w:sz="4" w:space="0" w:color="auto"/>
              <w:left w:val="single" w:sz="4" w:space="0" w:color="auto"/>
              <w:bottom w:val="single" w:sz="4" w:space="0" w:color="auto"/>
              <w:right w:val="single" w:sz="4" w:space="0" w:color="auto"/>
            </w:tcBorders>
            <w:shd w:val="clear" w:color="auto" w:fill="auto"/>
          </w:tcPr>
          <w:p w:rsidR="00DC1467" w:rsidRDefault="00B70D3E">
            <w:pPr>
              <w:spacing w:line="240" w:lineRule="auto"/>
              <w:ind w:firstLine="0"/>
              <w:rPr>
                <w:rFonts w:eastAsia="Calibri"/>
                <w:sz w:val="24"/>
                <w:szCs w:val="24"/>
              </w:rPr>
            </w:pPr>
            <w:r>
              <w:rPr>
                <w:rFonts w:eastAsia="Calibri"/>
                <w:sz w:val="24"/>
                <w:szCs w:val="24"/>
              </w:rPr>
              <w:t>К группе риска отнесено</w:t>
            </w:r>
          </w:p>
        </w:tc>
        <w:tc>
          <w:tcPr>
            <w:tcW w:w="778" w:type="pct"/>
            <w:tcBorders>
              <w:top w:val="single" w:sz="4" w:space="0" w:color="auto"/>
              <w:left w:val="single" w:sz="4" w:space="0" w:color="auto"/>
              <w:bottom w:val="single" w:sz="4" w:space="0" w:color="auto"/>
              <w:right w:val="single" w:sz="4" w:space="0" w:color="auto"/>
            </w:tcBorders>
            <w:shd w:val="clear" w:color="auto" w:fill="auto"/>
          </w:tcPr>
          <w:p w:rsidR="00DC1467" w:rsidRDefault="00B70D3E">
            <w:pPr>
              <w:spacing w:line="240" w:lineRule="auto"/>
              <w:ind w:firstLine="0"/>
              <w:jc w:val="center"/>
              <w:rPr>
                <w:rFonts w:eastAsia="Calibri"/>
                <w:sz w:val="24"/>
                <w:szCs w:val="24"/>
              </w:rPr>
            </w:pPr>
            <w:r>
              <w:rPr>
                <w:rFonts w:eastAsia="Calibri"/>
                <w:sz w:val="24"/>
                <w:szCs w:val="24"/>
              </w:rPr>
              <w:t>13 287</w:t>
            </w:r>
          </w:p>
        </w:tc>
        <w:tc>
          <w:tcPr>
            <w:tcW w:w="907" w:type="pct"/>
            <w:tcBorders>
              <w:top w:val="single" w:sz="4" w:space="0" w:color="auto"/>
              <w:left w:val="single" w:sz="4" w:space="0" w:color="auto"/>
              <w:bottom w:val="single" w:sz="4" w:space="0" w:color="auto"/>
              <w:right w:val="single" w:sz="4" w:space="0" w:color="auto"/>
            </w:tcBorders>
          </w:tcPr>
          <w:p w:rsidR="00DC1467" w:rsidRDefault="00B70D3E">
            <w:pPr>
              <w:spacing w:line="240" w:lineRule="auto"/>
              <w:ind w:firstLine="0"/>
              <w:jc w:val="center"/>
              <w:rPr>
                <w:rFonts w:eastAsia="Calibri"/>
                <w:sz w:val="24"/>
                <w:szCs w:val="24"/>
              </w:rPr>
            </w:pPr>
            <w:r>
              <w:rPr>
                <w:rFonts w:eastAsia="Calibri"/>
                <w:sz w:val="24"/>
                <w:szCs w:val="24"/>
              </w:rPr>
              <w:t>10 479</w:t>
            </w:r>
          </w:p>
        </w:tc>
      </w:tr>
      <w:tr w:rsidR="00DC1467">
        <w:trPr>
          <w:trHeight w:val="227"/>
        </w:trPr>
        <w:tc>
          <w:tcPr>
            <w:tcW w:w="3315" w:type="pct"/>
            <w:tcBorders>
              <w:top w:val="single" w:sz="4" w:space="0" w:color="auto"/>
              <w:left w:val="single" w:sz="4" w:space="0" w:color="auto"/>
              <w:bottom w:val="single" w:sz="4" w:space="0" w:color="auto"/>
              <w:right w:val="single" w:sz="4" w:space="0" w:color="auto"/>
            </w:tcBorders>
            <w:shd w:val="clear" w:color="auto" w:fill="auto"/>
          </w:tcPr>
          <w:p w:rsidR="00DC1467" w:rsidRDefault="00B70D3E">
            <w:pPr>
              <w:spacing w:line="240" w:lineRule="auto"/>
              <w:ind w:firstLine="0"/>
              <w:rPr>
                <w:rFonts w:eastAsia="Calibri"/>
                <w:sz w:val="24"/>
                <w:szCs w:val="24"/>
              </w:rPr>
            </w:pPr>
            <w:r>
              <w:rPr>
                <w:rFonts w:eastAsia="Calibri"/>
                <w:sz w:val="24"/>
                <w:szCs w:val="24"/>
              </w:rPr>
              <w:t>из них детей</w:t>
            </w:r>
          </w:p>
        </w:tc>
        <w:tc>
          <w:tcPr>
            <w:tcW w:w="778" w:type="pct"/>
            <w:tcBorders>
              <w:top w:val="single" w:sz="4" w:space="0" w:color="auto"/>
              <w:left w:val="single" w:sz="4" w:space="0" w:color="auto"/>
              <w:bottom w:val="single" w:sz="4" w:space="0" w:color="auto"/>
              <w:right w:val="single" w:sz="4" w:space="0" w:color="auto"/>
            </w:tcBorders>
            <w:shd w:val="clear" w:color="auto" w:fill="auto"/>
          </w:tcPr>
          <w:p w:rsidR="00DC1467" w:rsidRDefault="00B70D3E">
            <w:pPr>
              <w:spacing w:line="240" w:lineRule="auto"/>
              <w:ind w:firstLine="0"/>
              <w:jc w:val="center"/>
              <w:rPr>
                <w:rFonts w:eastAsia="Calibri"/>
                <w:sz w:val="24"/>
                <w:szCs w:val="24"/>
              </w:rPr>
            </w:pPr>
            <w:r>
              <w:rPr>
                <w:rFonts w:eastAsia="Calibri"/>
                <w:sz w:val="24"/>
                <w:szCs w:val="24"/>
              </w:rPr>
              <w:t>3 997</w:t>
            </w:r>
          </w:p>
        </w:tc>
        <w:tc>
          <w:tcPr>
            <w:tcW w:w="907" w:type="pct"/>
            <w:tcBorders>
              <w:top w:val="single" w:sz="4" w:space="0" w:color="auto"/>
              <w:left w:val="single" w:sz="4" w:space="0" w:color="auto"/>
              <w:bottom w:val="single" w:sz="4" w:space="0" w:color="auto"/>
              <w:right w:val="single" w:sz="4" w:space="0" w:color="auto"/>
            </w:tcBorders>
          </w:tcPr>
          <w:p w:rsidR="00DC1467" w:rsidRDefault="00B70D3E">
            <w:pPr>
              <w:spacing w:line="240" w:lineRule="auto"/>
              <w:ind w:firstLine="0"/>
              <w:jc w:val="center"/>
              <w:rPr>
                <w:rFonts w:eastAsia="Calibri"/>
                <w:sz w:val="24"/>
                <w:szCs w:val="24"/>
              </w:rPr>
            </w:pPr>
            <w:r>
              <w:rPr>
                <w:rFonts w:eastAsia="Calibri"/>
                <w:sz w:val="24"/>
                <w:szCs w:val="24"/>
              </w:rPr>
              <w:t>3 670</w:t>
            </w:r>
          </w:p>
        </w:tc>
      </w:tr>
      <w:tr w:rsidR="00DC1467">
        <w:trPr>
          <w:trHeight w:val="227"/>
        </w:trPr>
        <w:tc>
          <w:tcPr>
            <w:tcW w:w="3315" w:type="pct"/>
            <w:tcBorders>
              <w:top w:val="single" w:sz="4" w:space="0" w:color="auto"/>
              <w:left w:val="single" w:sz="4" w:space="0" w:color="auto"/>
              <w:bottom w:val="single" w:sz="4" w:space="0" w:color="auto"/>
              <w:right w:val="single" w:sz="4" w:space="0" w:color="auto"/>
            </w:tcBorders>
            <w:shd w:val="clear" w:color="auto" w:fill="auto"/>
          </w:tcPr>
          <w:p w:rsidR="00DC1467" w:rsidRDefault="00B70D3E">
            <w:pPr>
              <w:spacing w:line="240" w:lineRule="auto"/>
              <w:ind w:firstLine="0"/>
              <w:rPr>
                <w:rFonts w:eastAsia="Calibri"/>
                <w:sz w:val="24"/>
                <w:szCs w:val="24"/>
              </w:rPr>
            </w:pPr>
            <w:r>
              <w:rPr>
                <w:rFonts w:eastAsia="Calibri"/>
                <w:sz w:val="24"/>
                <w:szCs w:val="24"/>
              </w:rPr>
              <w:t>Назначены индивидуальные планы оздоровления</w:t>
            </w:r>
          </w:p>
        </w:tc>
        <w:tc>
          <w:tcPr>
            <w:tcW w:w="778" w:type="pct"/>
            <w:tcBorders>
              <w:top w:val="single" w:sz="4" w:space="0" w:color="auto"/>
              <w:left w:val="single" w:sz="4" w:space="0" w:color="auto"/>
              <w:bottom w:val="single" w:sz="4" w:space="0" w:color="auto"/>
              <w:right w:val="single" w:sz="4" w:space="0" w:color="auto"/>
            </w:tcBorders>
            <w:shd w:val="clear" w:color="auto" w:fill="auto"/>
          </w:tcPr>
          <w:p w:rsidR="00DC1467" w:rsidRDefault="00B70D3E">
            <w:pPr>
              <w:spacing w:line="240" w:lineRule="auto"/>
              <w:ind w:firstLine="0"/>
              <w:jc w:val="center"/>
              <w:rPr>
                <w:rFonts w:eastAsia="Calibri"/>
                <w:sz w:val="24"/>
                <w:szCs w:val="24"/>
              </w:rPr>
            </w:pPr>
            <w:r>
              <w:rPr>
                <w:rFonts w:eastAsia="Calibri"/>
                <w:sz w:val="24"/>
                <w:szCs w:val="24"/>
              </w:rPr>
              <w:t>17 606</w:t>
            </w:r>
          </w:p>
        </w:tc>
        <w:tc>
          <w:tcPr>
            <w:tcW w:w="907" w:type="pct"/>
            <w:tcBorders>
              <w:top w:val="single" w:sz="4" w:space="0" w:color="auto"/>
              <w:left w:val="single" w:sz="4" w:space="0" w:color="auto"/>
              <w:bottom w:val="single" w:sz="4" w:space="0" w:color="auto"/>
              <w:right w:val="single" w:sz="4" w:space="0" w:color="auto"/>
            </w:tcBorders>
          </w:tcPr>
          <w:p w:rsidR="00DC1467" w:rsidRDefault="00B70D3E">
            <w:pPr>
              <w:spacing w:line="240" w:lineRule="auto"/>
              <w:ind w:firstLine="0"/>
              <w:jc w:val="center"/>
              <w:rPr>
                <w:rFonts w:eastAsia="Calibri"/>
                <w:sz w:val="24"/>
                <w:szCs w:val="24"/>
              </w:rPr>
            </w:pPr>
            <w:r>
              <w:rPr>
                <w:rFonts w:eastAsia="Calibri"/>
                <w:sz w:val="24"/>
                <w:szCs w:val="24"/>
              </w:rPr>
              <w:t>15 116</w:t>
            </w:r>
          </w:p>
        </w:tc>
      </w:tr>
      <w:tr w:rsidR="00DC1467">
        <w:trPr>
          <w:trHeight w:val="227"/>
        </w:trPr>
        <w:tc>
          <w:tcPr>
            <w:tcW w:w="3315" w:type="pct"/>
            <w:tcBorders>
              <w:top w:val="single" w:sz="4" w:space="0" w:color="auto"/>
              <w:left w:val="single" w:sz="4" w:space="0" w:color="auto"/>
              <w:bottom w:val="single" w:sz="4" w:space="0" w:color="auto"/>
              <w:right w:val="single" w:sz="4" w:space="0" w:color="auto"/>
            </w:tcBorders>
            <w:shd w:val="clear" w:color="auto" w:fill="auto"/>
          </w:tcPr>
          <w:p w:rsidR="00DC1467" w:rsidRDefault="00B70D3E">
            <w:pPr>
              <w:spacing w:line="240" w:lineRule="auto"/>
              <w:ind w:firstLine="0"/>
              <w:rPr>
                <w:rFonts w:eastAsia="Calibri"/>
                <w:sz w:val="24"/>
                <w:szCs w:val="24"/>
              </w:rPr>
            </w:pPr>
            <w:r>
              <w:rPr>
                <w:rFonts w:eastAsia="Calibri"/>
                <w:sz w:val="24"/>
                <w:szCs w:val="24"/>
              </w:rPr>
              <w:t>из них детей</w:t>
            </w:r>
          </w:p>
        </w:tc>
        <w:tc>
          <w:tcPr>
            <w:tcW w:w="778" w:type="pct"/>
            <w:tcBorders>
              <w:top w:val="single" w:sz="4" w:space="0" w:color="auto"/>
              <w:left w:val="single" w:sz="4" w:space="0" w:color="auto"/>
              <w:bottom w:val="single" w:sz="4" w:space="0" w:color="auto"/>
              <w:right w:val="single" w:sz="4" w:space="0" w:color="auto"/>
            </w:tcBorders>
            <w:shd w:val="clear" w:color="auto" w:fill="auto"/>
          </w:tcPr>
          <w:p w:rsidR="00DC1467" w:rsidRDefault="00B70D3E">
            <w:pPr>
              <w:spacing w:line="240" w:lineRule="auto"/>
              <w:ind w:firstLine="0"/>
              <w:jc w:val="center"/>
              <w:rPr>
                <w:rFonts w:eastAsia="Calibri"/>
                <w:sz w:val="24"/>
                <w:szCs w:val="24"/>
              </w:rPr>
            </w:pPr>
            <w:r>
              <w:rPr>
                <w:rFonts w:eastAsia="Calibri"/>
                <w:sz w:val="24"/>
                <w:szCs w:val="24"/>
              </w:rPr>
              <w:t>5 838</w:t>
            </w:r>
          </w:p>
        </w:tc>
        <w:tc>
          <w:tcPr>
            <w:tcW w:w="907" w:type="pct"/>
            <w:tcBorders>
              <w:top w:val="single" w:sz="4" w:space="0" w:color="auto"/>
              <w:left w:val="single" w:sz="4" w:space="0" w:color="auto"/>
              <w:bottom w:val="single" w:sz="4" w:space="0" w:color="auto"/>
              <w:right w:val="single" w:sz="4" w:space="0" w:color="auto"/>
            </w:tcBorders>
          </w:tcPr>
          <w:p w:rsidR="00DC1467" w:rsidRDefault="00B70D3E">
            <w:pPr>
              <w:spacing w:line="240" w:lineRule="auto"/>
              <w:ind w:firstLine="0"/>
              <w:jc w:val="center"/>
              <w:rPr>
                <w:rFonts w:eastAsia="Calibri"/>
                <w:sz w:val="24"/>
                <w:szCs w:val="24"/>
              </w:rPr>
            </w:pPr>
            <w:r>
              <w:rPr>
                <w:rFonts w:eastAsia="Calibri"/>
                <w:sz w:val="24"/>
                <w:szCs w:val="24"/>
              </w:rPr>
              <w:t>5 711</w:t>
            </w:r>
          </w:p>
        </w:tc>
      </w:tr>
      <w:tr w:rsidR="00DC1467">
        <w:trPr>
          <w:trHeight w:val="227"/>
        </w:trPr>
        <w:tc>
          <w:tcPr>
            <w:tcW w:w="3315" w:type="pct"/>
            <w:tcBorders>
              <w:top w:val="single" w:sz="4" w:space="0" w:color="auto"/>
              <w:left w:val="single" w:sz="4" w:space="0" w:color="auto"/>
              <w:bottom w:val="single" w:sz="4" w:space="0" w:color="auto"/>
              <w:right w:val="single" w:sz="4" w:space="0" w:color="auto"/>
            </w:tcBorders>
            <w:shd w:val="clear" w:color="auto" w:fill="auto"/>
          </w:tcPr>
          <w:p w:rsidR="00DC1467" w:rsidRDefault="00B70D3E">
            <w:pPr>
              <w:spacing w:line="240" w:lineRule="auto"/>
              <w:ind w:firstLine="0"/>
              <w:rPr>
                <w:rFonts w:eastAsia="Calibri"/>
                <w:sz w:val="24"/>
                <w:szCs w:val="24"/>
              </w:rPr>
            </w:pPr>
            <w:r>
              <w:rPr>
                <w:rFonts w:eastAsia="Calibri"/>
                <w:sz w:val="24"/>
                <w:szCs w:val="24"/>
              </w:rPr>
              <w:t>Направлено к специалистам в медицинские организации для дополнительного обследования и лечения</w:t>
            </w:r>
          </w:p>
        </w:tc>
        <w:tc>
          <w:tcPr>
            <w:tcW w:w="778" w:type="pct"/>
            <w:tcBorders>
              <w:top w:val="single" w:sz="4" w:space="0" w:color="auto"/>
              <w:left w:val="single" w:sz="4" w:space="0" w:color="auto"/>
              <w:bottom w:val="single" w:sz="4" w:space="0" w:color="auto"/>
              <w:right w:val="single" w:sz="4" w:space="0" w:color="auto"/>
            </w:tcBorders>
            <w:shd w:val="clear" w:color="auto" w:fill="auto"/>
          </w:tcPr>
          <w:p w:rsidR="00DC1467" w:rsidRDefault="00B70D3E">
            <w:pPr>
              <w:spacing w:line="240" w:lineRule="auto"/>
              <w:ind w:firstLine="0"/>
              <w:jc w:val="center"/>
              <w:rPr>
                <w:rFonts w:eastAsia="Calibri"/>
                <w:sz w:val="24"/>
                <w:szCs w:val="24"/>
              </w:rPr>
            </w:pPr>
            <w:r>
              <w:rPr>
                <w:rFonts w:eastAsia="Calibri"/>
                <w:sz w:val="24"/>
                <w:szCs w:val="24"/>
              </w:rPr>
              <w:t>1 951</w:t>
            </w:r>
          </w:p>
        </w:tc>
        <w:tc>
          <w:tcPr>
            <w:tcW w:w="907" w:type="pct"/>
            <w:tcBorders>
              <w:top w:val="single" w:sz="4" w:space="0" w:color="auto"/>
              <w:left w:val="single" w:sz="4" w:space="0" w:color="auto"/>
              <w:bottom w:val="single" w:sz="4" w:space="0" w:color="auto"/>
              <w:right w:val="single" w:sz="4" w:space="0" w:color="auto"/>
            </w:tcBorders>
          </w:tcPr>
          <w:p w:rsidR="00DC1467" w:rsidRDefault="00B70D3E">
            <w:pPr>
              <w:spacing w:line="240" w:lineRule="auto"/>
              <w:ind w:firstLine="0"/>
              <w:jc w:val="center"/>
              <w:rPr>
                <w:rFonts w:eastAsia="Calibri"/>
                <w:sz w:val="24"/>
                <w:szCs w:val="24"/>
              </w:rPr>
            </w:pPr>
            <w:r>
              <w:rPr>
                <w:rFonts w:eastAsia="Calibri"/>
                <w:sz w:val="24"/>
                <w:szCs w:val="24"/>
              </w:rPr>
              <w:t>2 965</w:t>
            </w:r>
          </w:p>
        </w:tc>
      </w:tr>
      <w:tr w:rsidR="00DC1467">
        <w:trPr>
          <w:trHeight w:val="227"/>
        </w:trPr>
        <w:tc>
          <w:tcPr>
            <w:tcW w:w="3315" w:type="pct"/>
            <w:tcBorders>
              <w:top w:val="single" w:sz="4" w:space="0" w:color="auto"/>
              <w:left w:val="single" w:sz="4" w:space="0" w:color="auto"/>
              <w:bottom w:val="single" w:sz="4" w:space="0" w:color="auto"/>
              <w:right w:val="single" w:sz="4" w:space="0" w:color="auto"/>
            </w:tcBorders>
            <w:shd w:val="clear" w:color="auto" w:fill="auto"/>
          </w:tcPr>
          <w:p w:rsidR="00DC1467" w:rsidRDefault="00B70D3E">
            <w:pPr>
              <w:spacing w:line="240" w:lineRule="auto"/>
              <w:ind w:firstLine="0"/>
              <w:rPr>
                <w:rFonts w:eastAsia="Calibri"/>
                <w:sz w:val="24"/>
                <w:szCs w:val="24"/>
              </w:rPr>
            </w:pPr>
            <w:r>
              <w:rPr>
                <w:rFonts w:eastAsia="Calibri"/>
                <w:sz w:val="24"/>
                <w:szCs w:val="24"/>
              </w:rPr>
              <w:t>из них детей</w:t>
            </w:r>
          </w:p>
        </w:tc>
        <w:tc>
          <w:tcPr>
            <w:tcW w:w="778" w:type="pct"/>
            <w:tcBorders>
              <w:top w:val="single" w:sz="4" w:space="0" w:color="auto"/>
              <w:left w:val="single" w:sz="4" w:space="0" w:color="auto"/>
              <w:bottom w:val="single" w:sz="4" w:space="0" w:color="auto"/>
              <w:right w:val="single" w:sz="4" w:space="0" w:color="auto"/>
            </w:tcBorders>
            <w:shd w:val="clear" w:color="auto" w:fill="auto"/>
          </w:tcPr>
          <w:p w:rsidR="00DC1467" w:rsidRDefault="00B70D3E">
            <w:pPr>
              <w:spacing w:line="240" w:lineRule="auto"/>
              <w:ind w:firstLine="0"/>
              <w:jc w:val="center"/>
              <w:rPr>
                <w:rFonts w:eastAsia="Calibri"/>
                <w:sz w:val="24"/>
                <w:szCs w:val="24"/>
              </w:rPr>
            </w:pPr>
            <w:r>
              <w:rPr>
                <w:rFonts w:eastAsia="Calibri"/>
                <w:sz w:val="24"/>
                <w:szCs w:val="24"/>
              </w:rPr>
              <w:t>1 116</w:t>
            </w:r>
          </w:p>
        </w:tc>
        <w:tc>
          <w:tcPr>
            <w:tcW w:w="907" w:type="pct"/>
            <w:tcBorders>
              <w:top w:val="single" w:sz="4" w:space="0" w:color="auto"/>
              <w:left w:val="single" w:sz="4" w:space="0" w:color="auto"/>
              <w:bottom w:val="single" w:sz="4" w:space="0" w:color="auto"/>
              <w:right w:val="single" w:sz="4" w:space="0" w:color="auto"/>
            </w:tcBorders>
          </w:tcPr>
          <w:p w:rsidR="00DC1467" w:rsidRDefault="00B70D3E">
            <w:pPr>
              <w:spacing w:line="240" w:lineRule="auto"/>
              <w:ind w:firstLine="0"/>
              <w:jc w:val="center"/>
              <w:rPr>
                <w:rFonts w:eastAsia="Calibri"/>
                <w:sz w:val="24"/>
                <w:szCs w:val="24"/>
              </w:rPr>
            </w:pPr>
            <w:r>
              <w:rPr>
                <w:rFonts w:eastAsia="Calibri"/>
                <w:sz w:val="24"/>
                <w:szCs w:val="24"/>
              </w:rPr>
              <w:t>1 157</w:t>
            </w:r>
          </w:p>
        </w:tc>
      </w:tr>
      <w:tr w:rsidR="00DC1467">
        <w:trPr>
          <w:trHeight w:val="227"/>
        </w:trPr>
        <w:tc>
          <w:tcPr>
            <w:tcW w:w="3315" w:type="pct"/>
            <w:tcBorders>
              <w:top w:val="single" w:sz="4" w:space="0" w:color="auto"/>
              <w:left w:val="single" w:sz="4" w:space="0" w:color="auto"/>
              <w:bottom w:val="single" w:sz="4" w:space="0" w:color="auto"/>
              <w:right w:val="single" w:sz="4" w:space="0" w:color="auto"/>
            </w:tcBorders>
            <w:shd w:val="clear" w:color="auto" w:fill="auto"/>
          </w:tcPr>
          <w:p w:rsidR="00DC1467" w:rsidRDefault="00B70D3E">
            <w:pPr>
              <w:spacing w:line="240" w:lineRule="auto"/>
              <w:ind w:firstLine="0"/>
              <w:rPr>
                <w:rFonts w:eastAsia="Calibri"/>
                <w:sz w:val="24"/>
                <w:szCs w:val="24"/>
              </w:rPr>
            </w:pPr>
            <w:r>
              <w:rPr>
                <w:rFonts w:eastAsia="Calibri"/>
                <w:sz w:val="24"/>
                <w:szCs w:val="24"/>
              </w:rPr>
              <w:t>Обучено основам здорового образа жизни</w:t>
            </w:r>
          </w:p>
        </w:tc>
        <w:tc>
          <w:tcPr>
            <w:tcW w:w="778" w:type="pct"/>
            <w:tcBorders>
              <w:top w:val="single" w:sz="4" w:space="0" w:color="auto"/>
              <w:left w:val="single" w:sz="4" w:space="0" w:color="auto"/>
              <w:bottom w:val="single" w:sz="4" w:space="0" w:color="auto"/>
              <w:right w:val="single" w:sz="4" w:space="0" w:color="auto"/>
            </w:tcBorders>
            <w:shd w:val="clear" w:color="auto" w:fill="auto"/>
          </w:tcPr>
          <w:p w:rsidR="00DC1467" w:rsidRDefault="00B70D3E">
            <w:pPr>
              <w:spacing w:line="240" w:lineRule="auto"/>
              <w:ind w:firstLine="0"/>
              <w:jc w:val="center"/>
              <w:rPr>
                <w:rFonts w:eastAsia="Calibri"/>
                <w:sz w:val="24"/>
                <w:szCs w:val="24"/>
              </w:rPr>
            </w:pPr>
            <w:r>
              <w:rPr>
                <w:rFonts w:eastAsia="Calibri"/>
                <w:sz w:val="24"/>
                <w:szCs w:val="24"/>
              </w:rPr>
              <w:t>17 606</w:t>
            </w:r>
          </w:p>
        </w:tc>
        <w:tc>
          <w:tcPr>
            <w:tcW w:w="907" w:type="pct"/>
            <w:tcBorders>
              <w:top w:val="single" w:sz="4" w:space="0" w:color="auto"/>
              <w:left w:val="single" w:sz="4" w:space="0" w:color="auto"/>
              <w:bottom w:val="single" w:sz="4" w:space="0" w:color="auto"/>
              <w:right w:val="single" w:sz="4" w:space="0" w:color="auto"/>
            </w:tcBorders>
          </w:tcPr>
          <w:p w:rsidR="00DC1467" w:rsidRDefault="00B70D3E">
            <w:pPr>
              <w:spacing w:line="240" w:lineRule="auto"/>
              <w:ind w:firstLine="0"/>
              <w:jc w:val="center"/>
              <w:rPr>
                <w:rFonts w:eastAsia="Calibri"/>
                <w:sz w:val="24"/>
                <w:szCs w:val="24"/>
              </w:rPr>
            </w:pPr>
            <w:r>
              <w:rPr>
                <w:rFonts w:eastAsia="Calibri"/>
                <w:sz w:val="24"/>
                <w:szCs w:val="24"/>
              </w:rPr>
              <w:t>15 116</w:t>
            </w:r>
          </w:p>
        </w:tc>
      </w:tr>
    </w:tbl>
    <w:p w:rsidR="00DC1467" w:rsidRDefault="00DC1467">
      <w:pPr>
        <w:spacing w:line="276" w:lineRule="auto"/>
        <w:ind w:left="20" w:right="23" w:firstLine="700"/>
        <w:contextualSpacing/>
        <w:rPr>
          <w:lang w:eastAsia="en-US"/>
        </w:rPr>
      </w:pPr>
    </w:p>
    <w:p w:rsidR="00DC1467" w:rsidRDefault="00B70D3E">
      <w:pPr>
        <w:spacing w:line="276" w:lineRule="auto"/>
        <w:ind w:firstLine="708"/>
        <w:rPr>
          <w:lang w:eastAsia="en-US"/>
        </w:rPr>
      </w:pPr>
      <w:r>
        <w:rPr>
          <w:rFonts w:eastAsia="Calibri"/>
        </w:rPr>
        <w:t>В медицинских организациях автономного округа действует 26 кабинетов медицинской помощи при отказе от курения. В 2024 году в кабинеты медицинской помощи при отказе от курения зареги</w:t>
      </w:r>
      <w:r>
        <w:rPr>
          <w:rFonts w:eastAsia="Calibri"/>
        </w:rPr>
        <w:t xml:space="preserve">стрировано 10 544 обращения (2023 год – 10 227). </w:t>
      </w:r>
    </w:p>
    <w:p w:rsidR="00DC1467" w:rsidRDefault="00B70D3E">
      <w:pPr>
        <w:spacing w:line="276" w:lineRule="auto"/>
        <w:ind w:firstLine="708"/>
        <w:rPr>
          <w:rFonts w:eastAsia="Calibri"/>
          <w:lang w:eastAsia="en-US"/>
        </w:rPr>
      </w:pPr>
      <w:r>
        <w:t xml:space="preserve">В рамках формирования единого медиапространства по пропаганде здорового образа жизни в автономном округе применяются следующие принципы: </w:t>
      </w:r>
      <w:r>
        <w:rPr>
          <w:rFonts w:eastAsia="Calibri"/>
          <w:lang w:eastAsia="en-US"/>
        </w:rPr>
        <w:t>информационное обеспечение деятельности медицинских организаций, инфо</w:t>
      </w:r>
      <w:r>
        <w:rPr>
          <w:rFonts w:eastAsia="Calibri"/>
          <w:lang w:eastAsia="en-US"/>
        </w:rPr>
        <w:t>рмационная открытость и формирование через средства массовой информации объективного общественного мнения.</w:t>
      </w:r>
    </w:p>
    <w:p w:rsidR="00DC1467" w:rsidRDefault="00B70D3E">
      <w:pPr>
        <w:spacing w:line="276" w:lineRule="auto"/>
        <w:ind w:firstLine="709"/>
      </w:pPr>
      <w:r>
        <w:t xml:space="preserve">Плотность информационного поля по освещению реализации мероприятий </w:t>
      </w:r>
      <w:r>
        <w:rPr>
          <w:lang w:eastAsia="ar-SA"/>
        </w:rPr>
        <w:t xml:space="preserve">по вопросам охраны здоровья граждан </w:t>
      </w:r>
      <w:r>
        <w:t>за 2024 год составила 92 информационных повода</w:t>
      </w:r>
      <w:r>
        <w:t xml:space="preserve"> на 10 тыс. населения.</w:t>
      </w:r>
    </w:p>
    <w:p w:rsidR="00DC1467" w:rsidRDefault="00B70D3E">
      <w:pPr>
        <w:spacing w:line="276" w:lineRule="auto"/>
        <w:ind w:firstLine="708"/>
      </w:pPr>
      <w:r>
        <w:t>Для того чтобы отслеживать результаты информационно-коммуникационной кампании, проверять актуальность публикуемых данных и анализировать качество проводимой работы, на официальном сайте Центра общественного здоровья и медицинской про</w:t>
      </w:r>
      <w:r>
        <w:t xml:space="preserve">филактики (http://cmphmao.ru) функционирует система оперативного мониторинга СМИ. В каждой медицинской организации назначен информационный уполномоченный, который ежедневно заполняет отчет о размещенных материалах в СМИ. </w:t>
      </w:r>
    </w:p>
    <w:p w:rsidR="00DC1467" w:rsidRDefault="00B70D3E">
      <w:pPr>
        <w:spacing w:line="276" w:lineRule="auto"/>
        <w:ind w:firstLine="708"/>
      </w:pPr>
      <w:r>
        <w:t>В печатных СМИ, теле- и радиоэфире</w:t>
      </w:r>
      <w:r>
        <w:t>, а также в интернете по медицинской профилактике неинфекционных заболеваний и формированию здорового образа жизни, профилактике развития зависимостей, включая сокращение потребления табака, алкоголя, наркотических средств и психоактивных веществ, опублико</w:t>
      </w:r>
      <w:r>
        <w:t>вано 11 323 информационных сообщения.</w:t>
      </w:r>
    </w:p>
    <w:p w:rsidR="00DC1467" w:rsidRDefault="00B70D3E">
      <w:pPr>
        <w:spacing w:line="276" w:lineRule="auto"/>
        <w:ind w:firstLine="708"/>
      </w:pPr>
      <w:r>
        <w:t>Согласно мониторингу информационного сопровождения деятельности системы здравоохранения автономного округа в 2024 году по профилактике развития зависимостей, включая сокращение потребления табака, алкоголя, наркотическ</w:t>
      </w:r>
      <w:r>
        <w:t>их средств и психоактивных веществ, в том числе у детей, опубликовано 2 636 информационных сообщений (2023 г. – 2 707).</w:t>
      </w:r>
    </w:p>
    <w:p w:rsidR="00DC1467" w:rsidRDefault="00B70D3E">
      <w:pPr>
        <w:spacing w:line="276" w:lineRule="auto"/>
        <w:ind w:firstLine="708"/>
        <w:rPr>
          <w:rFonts w:eastAsia="Calibri"/>
          <w:lang w:eastAsia="en-US"/>
        </w:rPr>
      </w:pPr>
      <w:r>
        <w:rPr>
          <w:rFonts w:eastAsia="Calibri"/>
          <w:lang w:eastAsia="en-US"/>
        </w:rPr>
        <w:t>На регулярной основе ведется работа по взаимодействию со СМИ. В целях подготовки качественных материалов в системе здравоохранения выстр</w:t>
      </w:r>
      <w:r>
        <w:rPr>
          <w:rFonts w:eastAsia="Calibri"/>
          <w:lang w:eastAsia="en-US"/>
        </w:rPr>
        <w:t xml:space="preserve">оена горизонталь информационного оповещения. Определен список спикеров по темам. Неотъемлемой частью является мониторинг публичного пространства. </w:t>
      </w:r>
    </w:p>
    <w:p w:rsidR="00DC1467" w:rsidRDefault="00B70D3E">
      <w:pPr>
        <w:spacing w:line="276" w:lineRule="auto"/>
        <w:ind w:firstLine="708"/>
        <w:rPr>
          <w:rFonts w:eastAsia="Calibri"/>
          <w:lang w:eastAsia="en-US"/>
        </w:rPr>
      </w:pPr>
      <w:r>
        <w:rPr>
          <w:rFonts w:eastAsia="Calibri"/>
          <w:lang w:eastAsia="en-US"/>
        </w:rPr>
        <w:t>В качестве основных площадок по распространению информации выступают сайты и сообщества в социальных сетях Де</w:t>
      </w:r>
      <w:r>
        <w:rPr>
          <w:rFonts w:eastAsia="Calibri"/>
          <w:lang w:eastAsia="en-US"/>
        </w:rPr>
        <w:t>партамента здравоохранения Ханты-Мансийского автономного округа – Югры и медицинских организаций. Всего региональную систему здравоохранения в социальных сетях и мессенджерах представляют 225 официальных аккаунтов, из них: ВКонтакте – 92, Одноклассники – 9</w:t>
      </w:r>
      <w:r>
        <w:rPr>
          <w:rFonts w:eastAsia="Calibri"/>
          <w:lang w:eastAsia="en-US"/>
        </w:rPr>
        <w:t>2, Телеграм – 41.</w:t>
      </w:r>
    </w:p>
    <w:p w:rsidR="00DC1467" w:rsidRDefault="00B70D3E">
      <w:pPr>
        <w:spacing w:line="276" w:lineRule="auto"/>
        <w:ind w:firstLine="708"/>
        <w:rPr>
          <w:rFonts w:eastAsia="Calibri"/>
          <w:lang w:eastAsia="en-US"/>
        </w:rPr>
      </w:pPr>
      <w:r>
        <w:rPr>
          <w:rFonts w:eastAsia="Calibri"/>
          <w:lang w:eastAsia="en-US"/>
        </w:rPr>
        <w:t xml:space="preserve">Для госпабликов при участии главных внештатных специалистов Департамента здравоохранения Ханты-Мансийского автономного округа – Югры разрабатывается тематический контент в формате информационных карточек и видеороликов. </w:t>
      </w:r>
    </w:p>
    <w:p w:rsidR="00DC1467" w:rsidRDefault="00B70D3E">
      <w:pPr>
        <w:spacing w:line="276" w:lineRule="auto"/>
        <w:ind w:firstLine="708"/>
        <w:rPr>
          <w:rFonts w:eastAsia="Calibri"/>
          <w:lang w:eastAsia="en-US"/>
        </w:rPr>
      </w:pPr>
      <w:r>
        <w:rPr>
          <w:rFonts w:eastAsia="Calibri"/>
          <w:lang w:eastAsia="en-US"/>
        </w:rPr>
        <w:t>Используется один</w:t>
      </w:r>
      <w:r>
        <w:rPr>
          <w:rFonts w:eastAsia="Calibri"/>
          <w:lang w:eastAsia="en-US"/>
        </w:rPr>
        <w:t xml:space="preserve"> из самых популярных в регионе информационных ресурсов – группа «Послушайте, доктор ХМАО – Югра» в социальной сети ВКонтакте. По состоянию на 25 декабря 2024 года в группе состояло 63 249 подписчиков. В рамках проекта еженедельно проводятся прямые эфиры с </w:t>
      </w:r>
      <w:r>
        <w:rPr>
          <w:rFonts w:eastAsia="Calibri"/>
          <w:lang w:eastAsia="en-US"/>
        </w:rPr>
        <w:t xml:space="preserve">ведущими специалистами системы здравоохранения Югры, граждане задают вопросы согласно теме эфира. </w:t>
      </w:r>
    </w:p>
    <w:p w:rsidR="00DC1467" w:rsidRDefault="00B70D3E">
      <w:pPr>
        <w:spacing w:line="276" w:lineRule="auto"/>
        <w:ind w:firstLine="708"/>
        <w:rPr>
          <w:rFonts w:eastAsia="Calibri"/>
          <w:lang w:eastAsia="en-US"/>
        </w:rPr>
      </w:pPr>
      <w:r>
        <w:rPr>
          <w:rFonts w:eastAsia="Calibri"/>
          <w:lang w:eastAsia="en-US"/>
        </w:rPr>
        <w:t xml:space="preserve">С целью формирования в обществе здоровой модели поведения, ответственного отношения к своему здоровью, профилактики заболеваний Центр общественного здоровья </w:t>
      </w:r>
      <w:r>
        <w:rPr>
          <w:rFonts w:eastAsia="Calibri"/>
          <w:lang w:eastAsia="en-US"/>
        </w:rPr>
        <w:t>и медицинской профилактики является учредителем журнала «Регион здоровья», который выходит четыре раза в год тиражом 1 200 экземпляров (свидетельство о регистрации ПИ № ТУ72-01619 от 02.03.2021). В периодическом издании на регулярной основе размещаются акт</w:t>
      </w:r>
      <w:r>
        <w:rPr>
          <w:rFonts w:eastAsia="Calibri"/>
          <w:lang w:eastAsia="en-US"/>
        </w:rPr>
        <w:t xml:space="preserve">уальные тематические статьи. </w:t>
      </w:r>
    </w:p>
    <w:p w:rsidR="00DC1467" w:rsidRDefault="00B70D3E">
      <w:pPr>
        <w:spacing w:line="276" w:lineRule="auto"/>
        <w:ind w:firstLine="709"/>
        <w:rPr>
          <w:rFonts w:eastAsia="Calibri"/>
        </w:rPr>
      </w:pPr>
      <w:r>
        <w:t xml:space="preserve">С </w:t>
      </w:r>
      <w:r>
        <w:rPr>
          <w:rFonts w:eastAsia="Calibri"/>
        </w:rPr>
        <w:t>2023 года в совместно с ОТРК «Югра» реализуется проект по выпуску серии видеоматериалов, направленных на профилактику различных заболеваний и поддержке здорового образа жизни. Всего в эфир вышло 73 сюжета и программ, соответ</w:t>
      </w:r>
      <w:r>
        <w:rPr>
          <w:rFonts w:eastAsia="Calibri"/>
        </w:rPr>
        <w:t>ствующих тематическим неделям Министерства здравоохранения Российской Федерации.</w:t>
      </w:r>
    </w:p>
    <w:p w:rsidR="00DC1467" w:rsidRDefault="00B70D3E">
      <w:pPr>
        <w:widowControl w:val="0"/>
        <w:spacing w:line="276" w:lineRule="auto"/>
        <w:ind w:firstLine="709"/>
        <w:rPr>
          <w:rFonts w:eastAsia="Calibri"/>
          <w:lang w:eastAsia="en-US"/>
        </w:rPr>
      </w:pPr>
      <w:r>
        <w:rPr>
          <w:rFonts w:eastAsia="Calibri"/>
          <w:lang w:eastAsia="en-US"/>
        </w:rPr>
        <w:t>Центром общественного здоровья и медицинской профилактики организована еженедельная радиопередача «Семейный доктор». Территория вещания передачи включает Ханты-Мансийский авто</w:t>
      </w:r>
      <w:r>
        <w:rPr>
          <w:rFonts w:eastAsia="Calibri"/>
          <w:lang w:eastAsia="en-US"/>
        </w:rPr>
        <w:t xml:space="preserve">номный округ – Югру и город Тюмень. Количество потенциальных слушателей около 1,5 млн человек, возраст – 16+. </w:t>
      </w:r>
    </w:p>
    <w:p w:rsidR="00DC1467" w:rsidRDefault="00B70D3E">
      <w:pPr>
        <w:widowControl w:val="0"/>
        <w:spacing w:line="276" w:lineRule="auto"/>
        <w:ind w:firstLine="709"/>
        <w:rPr>
          <w:rFonts w:eastAsia="Calibri"/>
          <w:lang w:eastAsia="en-US"/>
        </w:rPr>
      </w:pPr>
      <w:r>
        <w:rPr>
          <w:rFonts w:eastAsia="Calibri"/>
          <w:lang w:eastAsia="en-US"/>
        </w:rPr>
        <w:t>В 2024 году в эфир вышло 100 передач. Тематика передач отражала тематические недели по профилактике заболеваний и пропаганде здорового образа жиз</w:t>
      </w:r>
      <w:r>
        <w:rPr>
          <w:rFonts w:eastAsia="Calibri"/>
          <w:lang w:eastAsia="en-US"/>
        </w:rPr>
        <w:t>ни, реализуемые Министерством здравоохранения Российской Федерации.</w:t>
      </w:r>
    </w:p>
    <w:p w:rsidR="00DC1467" w:rsidRDefault="00B70D3E">
      <w:pPr>
        <w:spacing w:line="276" w:lineRule="auto"/>
        <w:ind w:firstLine="709"/>
        <w:rPr>
          <w:rFonts w:eastAsia="Calibri"/>
          <w:lang w:eastAsia="en-US"/>
        </w:rPr>
      </w:pPr>
      <w:r>
        <w:rPr>
          <w:rFonts w:eastAsia="Calibri"/>
          <w:lang w:eastAsia="en-US"/>
        </w:rPr>
        <w:t xml:space="preserve">Центр общественного здоровья и медицинской профилактики имеет постоянную рубрику в ведущем окружном периодическом издании «Новости Югры». </w:t>
      </w:r>
    </w:p>
    <w:p w:rsidR="00DC1467" w:rsidRDefault="00B70D3E">
      <w:pPr>
        <w:spacing w:line="276" w:lineRule="auto"/>
        <w:ind w:firstLine="708"/>
      </w:pPr>
      <w:r>
        <w:t>Ежегодно Центр общественного здоровья и медицинск</w:t>
      </w:r>
      <w:r>
        <w:t>ой профилактики издает и распространяет по муниципальным образованиям округа полиграфическую продукцию профилактической направленности. Так, в 2024 году напечатано 7 наименований полиграфической продукции, общим тиражом – 101 000 экз., (2023 год – 19 наиме</w:t>
      </w:r>
      <w:r>
        <w:t xml:space="preserve">нований, тираж – 140 500 экз.): листовка «Пора бросить курить!» (в том числе на хантыйском и мансийском языках). </w:t>
      </w:r>
    </w:p>
    <w:p w:rsidR="00DC1467" w:rsidRDefault="00B70D3E">
      <w:pPr>
        <w:spacing w:line="276" w:lineRule="auto"/>
        <w:ind w:firstLine="708"/>
        <w:contextualSpacing/>
        <w:rPr>
          <w:rFonts w:eastAsia="Calibri"/>
          <w:lang w:eastAsia="en-US"/>
        </w:rPr>
      </w:pPr>
      <w:r>
        <w:rPr>
          <w:rFonts w:eastAsia="Calibri"/>
          <w:lang w:eastAsia="en-US"/>
        </w:rPr>
        <w:t xml:space="preserve">Ранее масштабные коммуникационные кампании, направленные на профилактику заболеваний и пропаганду здорового образа жизни в автономном округе, </w:t>
      </w:r>
      <w:r>
        <w:rPr>
          <w:rFonts w:eastAsia="Calibri"/>
          <w:lang w:eastAsia="en-US"/>
        </w:rPr>
        <w:t xml:space="preserve">были организованы в рамках профилактических месячников, тематика и сроки проведения устанавливались приказом Департамента здравоохранения Ханты-Мансийского автономного округа – Югры. </w:t>
      </w:r>
    </w:p>
    <w:p w:rsidR="00DC1467" w:rsidRDefault="00B70D3E">
      <w:pPr>
        <w:spacing w:line="276" w:lineRule="auto"/>
        <w:ind w:firstLine="708"/>
        <w:contextualSpacing/>
        <w:rPr>
          <w:rFonts w:eastAsia="Calibri"/>
          <w:lang w:eastAsia="en-US"/>
        </w:rPr>
      </w:pPr>
      <w:r>
        <w:rPr>
          <w:rFonts w:eastAsia="Calibri"/>
          <w:lang w:eastAsia="en-US"/>
        </w:rPr>
        <w:t>В мае 2024 года в Югре прошел «Месячник профилактики развития зависимост</w:t>
      </w:r>
      <w:r>
        <w:rPr>
          <w:rFonts w:eastAsia="Calibri"/>
          <w:lang w:eastAsia="en-US"/>
        </w:rPr>
        <w:t>ей (потребление никотина, алкоголя, наркотических средств и психоактивных веществ)», в рамках месячника специалистами медицинских организаций автономного округа проведено:</w:t>
      </w:r>
    </w:p>
    <w:p w:rsidR="00DC1467" w:rsidRDefault="00B70D3E">
      <w:pPr>
        <w:spacing w:line="276" w:lineRule="auto"/>
        <w:ind w:firstLine="708"/>
        <w:contextualSpacing/>
        <w:rPr>
          <w:rFonts w:eastAsia="Calibri"/>
          <w:lang w:eastAsia="en-US"/>
        </w:rPr>
      </w:pPr>
      <w:r>
        <w:rPr>
          <w:rFonts w:eastAsia="Calibri"/>
          <w:lang w:eastAsia="en-US"/>
        </w:rPr>
        <w:t>383 лекции, число слушателей 9 729 человек;</w:t>
      </w:r>
    </w:p>
    <w:p w:rsidR="00DC1467" w:rsidRDefault="00B70D3E">
      <w:pPr>
        <w:spacing w:line="276" w:lineRule="auto"/>
        <w:ind w:firstLine="708"/>
        <w:contextualSpacing/>
        <w:rPr>
          <w:rFonts w:eastAsia="Calibri"/>
          <w:lang w:eastAsia="en-US"/>
        </w:rPr>
      </w:pPr>
      <w:r>
        <w:rPr>
          <w:rFonts w:eastAsia="Calibri"/>
          <w:lang w:eastAsia="en-US"/>
        </w:rPr>
        <w:t>30 341 беседа, число участников 67 550 ч</w:t>
      </w:r>
      <w:r>
        <w:rPr>
          <w:rFonts w:eastAsia="Calibri"/>
          <w:lang w:eastAsia="en-US"/>
        </w:rPr>
        <w:t>еловек;</w:t>
      </w:r>
    </w:p>
    <w:p w:rsidR="00DC1467" w:rsidRDefault="00B70D3E">
      <w:pPr>
        <w:spacing w:line="276" w:lineRule="auto"/>
        <w:ind w:firstLine="708"/>
        <w:contextualSpacing/>
        <w:rPr>
          <w:rFonts w:eastAsia="Calibri"/>
          <w:lang w:eastAsia="en-US"/>
        </w:rPr>
      </w:pPr>
      <w:r>
        <w:rPr>
          <w:rFonts w:eastAsia="Calibri"/>
          <w:lang w:eastAsia="en-US"/>
        </w:rPr>
        <w:t>61 киновидеодемонстрация с обсуждением, число зрителей 2 355 человек;</w:t>
      </w:r>
    </w:p>
    <w:p w:rsidR="00DC1467" w:rsidRDefault="00B70D3E">
      <w:pPr>
        <w:spacing w:line="276" w:lineRule="auto"/>
        <w:ind w:firstLine="708"/>
        <w:contextualSpacing/>
        <w:rPr>
          <w:rFonts w:eastAsia="Calibri"/>
          <w:lang w:eastAsia="en-US"/>
        </w:rPr>
      </w:pPr>
      <w:r>
        <w:rPr>
          <w:rFonts w:eastAsia="Calibri"/>
          <w:lang w:eastAsia="en-US"/>
        </w:rPr>
        <w:t>71 массовое мероприятие, число участников 7 986 человек;</w:t>
      </w:r>
    </w:p>
    <w:p w:rsidR="00DC1467" w:rsidRDefault="00B70D3E">
      <w:pPr>
        <w:spacing w:line="276" w:lineRule="auto"/>
        <w:ind w:firstLine="708"/>
        <w:contextualSpacing/>
        <w:rPr>
          <w:rFonts w:eastAsia="Calibri"/>
          <w:lang w:eastAsia="en-US"/>
        </w:rPr>
      </w:pPr>
      <w:r>
        <w:rPr>
          <w:rFonts w:eastAsia="Calibri"/>
          <w:lang w:eastAsia="en-US"/>
        </w:rPr>
        <w:t>размещено 1 717 средств наглядной агитации;</w:t>
      </w:r>
    </w:p>
    <w:p w:rsidR="00DC1467" w:rsidRDefault="00B70D3E">
      <w:pPr>
        <w:spacing w:line="276" w:lineRule="auto"/>
        <w:ind w:firstLine="708"/>
        <w:contextualSpacing/>
        <w:rPr>
          <w:rFonts w:eastAsia="Calibri"/>
          <w:lang w:eastAsia="en-US"/>
        </w:rPr>
      </w:pPr>
      <w:r>
        <w:rPr>
          <w:rFonts w:eastAsia="Calibri"/>
          <w:lang w:eastAsia="en-US"/>
        </w:rPr>
        <w:t>распространено 22 005 экз. печатной продукции.</w:t>
      </w:r>
    </w:p>
    <w:p w:rsidR="00DC1467" w:rsidRDefault="00B70D3E">
      <w:pPr>
        <w:spacing w:line="276" w:lineRule="auto"/>
        <w:ind w:firstLine="708"/>
        <w:contextualSpacing/>
        <w:rPr>
          <w:rFonts w:eastAsia="Calibri"/>
          <w:lang w:eastAsia="en-US"/>
        </w:rPr>
      </w:pPr>
      <w:r>
        <w:rPr>
          <w:rFonts w:eastAsia="Calibri"/>
          <w:lang w:eastAsia="en-US"/>
        </w:rPr>
        <w:t>В сентябре 2022 года письмом Министра здравоохранения Российской Федерации М.А. Мурашко от 12.09.2022 № 21-5/И/2-15142 утвержден план проведения региональных тематических мероприятий по профилактике заболеваний и поддержке здорового образа жизни, начиная с</w:t>
      </w:r>
      <w:r>
        <w:rPr>
          <w:rFonts w:eastAsia="Calibri"/>
          <w:lang w:eastAsia="en-US"/>
        </w:rPr>
        <w:t xml:space="preserve"> этого периода масштабные коммуникационные кампании организуются в соответствии с профилактическими неделями Министерства здравоохранения Российской Федерации. </w:t>
      </w:r>
    </w:p>
    <w:p w:rsidR="00DC1467" w:rsidRDefault="00B70D3E">
      <w:pPr>
        <w:spacing w:line="276" w:lineRule="auto"/>
        <w:ind w:firstLine="708"/>
        <w:contextualSpacing/>
        <w:rPr>
          <w:rFonts w:eastAsia="Calibri"/>
          <w:lang w:eastAsia="en-US"/>
        </w:rPr>
      </w:pPr>
      <w:r>
        <w:rPr>
          <w:rFonts w:eastAsia="Calibri"/>
          <w:lang w:eastAsia="en-US"/>
        </w:rPr>
        <w:t xml:space="preserve">В соответствии с приказом Департамента здравоохранения </w:t>
      </w:r>
      <w:r>
        <w:rPr>
          <w:rFonts w:eastAsia="Calibri"/>
          <w:lang w:eastAsia="en-US"/>
        </w:rPr>
        <w:br/>
        <w:t xml:space="preserve">Ханты-Мансийского автономного округа – </w:t>
      </w:r>
      <w:r>
        <w:rPr>
          <w:rFonts w:eastAsia="Calibri"/>
          <w:lang w:eastAsia="en-US"/>
        </w:rPr>
        <w:t xml:space="preserve">Югры от 22.12.2023 № 2047 </w:t>
      </w:r>
      <w:r>
        <w:rPr>
          <w:rFonts w:eastAsia="Calibri"/>
          <w:lang w:eastAsia="en-US"/>
        </w:rPr>
        <w:br/>
        <w:t xml:space="preserve">«О проведении региональных тематических недель по профилактике заболеваний и пропаганде здорового образа жизни в Ханты-Мансийском автономном округе – Югре в 2024 году» в автономном округе с 26.02.2024 по 03.03.2024 прошла Неделя </w:t>
      </w:r>
      <w:r>
        <w:rPr>
          <w:rFonts w:eastAsia="Calibri"/>
          <w:lang w:eastAsia="en-US"/>
        </w:rPr>
        <w:t xml:space="preserve">профилактики употребления наркотических средств; с 11.03.2024 по 17.03.2024 – Неделя по борьбе с заражением и распространением хронического вирусного гепатита С; с 24.06.2024 по 30.06.2024 – Неделя профилактики употребления наркотических средств. В рамках </w:t>
      </w:r>
      <w:r>
        <w:rPr>
          <w:rFonts w:eastAsia="Calibri"/>
          <w:lang w:eastAsia="en-US"/>
        </w:rPr>
        <w:t>тематических недель организуются обучающие мероприятия для медицинских работников (научно-практические семинары и лекции для медицинских работников); профилактические мероприятия для населения (лекции, беседы, акции, и др.); разрабатывается тематическая ин</w:t>
      </w:r>
      <w:r>
        <w:rPr>
          <w:rFonts w:eastAsia="Calibri"/>
          <w:lang w:eastAsia="en-US"/>
        </w:rPr>
        <w:t xml:space="preserve">фографика, размещаемая в медицинских, образовательных и социальных организациях; проводятся профилактические мероприятия для корпоративного сектора; публикуются интервью или выступления главных региональных специалистов по теме, позитивные новости и посты </w:t>
      </w:r>
      <w:r>
        <w:rPr>
          <w:rFonts w:eastAsia="Calibri"/>
          <w:lang w:eastAsia="en-US"/>
        </w:rPr>
        <w:t>в социальных сетях.</w:t>
      </w:r>
    </w:p>
    <w:p w:rsidR="00DC1467" w:rsidRDefault="00B70D3E">
      <w:pPr>
        <w:spacing w:line="276" w:lineRule="auto"/>
        <w:ind w:firstLine="708"/>
      </w:pPr>
      <w:r>
        <w:t>Кроме того, в рамках реализации плана основных мероприятий по профилактике заболеваний и формированию здорового образа в медицинских организациях автономного округа на регулярной основе проводится обширная профилактическая работа, в том</w:t>
      </w:r>
      <w:r>
        <w:t xml:space="preserve"> числе направленная на профилактику вредных привычек. По предварительным данным в 2024 году специалистам медицинских организаций автономного округа на тему «Профилактика вредных привычек (курение, употребление алкоголя, потребление наркотических и психоакт</w:t>
      </w:r>
      <w:r>
        <w:t>ивных веществ»:</w:t>
      </w:r>
    </w:p>
    <w:p w:rsidR="00DC1467" w:rsidRDefault="00B70D3E">
      <w:pPr>
        <w:spacing w:line="276" w:lineRule="auto"/>
        <w:ind w:firstLine="708"/>
      </w:pPr>
      <w:r>
        <w:t xml:space="preserve">прочитана 2 691 лекция (2023 – 3 069), число слушателей – 53 484 человек (2023 г. – 55 518); </w:t>
      </w:r>
    </w:p>
    <w:p w:rsidR="00DC1467" w:rsidRDefault="00B70D3E">
      <w:pPr>
        <w:spacing w:line="276" w:lineRule="auto"/>
        <w:ind w:firstLine="708"/>
      </w:pPr>
      <w:r>
        <w:t xml:space="preserve">состоялась 95 721 беседа (2023 г. – 116 785), число участников – 210 344 человек (2023 г. – 234 215); </w:t>
      </w:r>
    </w:p>
    <w:p w:rsidR="00DC1467" w:rsidRDefault="00B70D3E">
      <w:pPr>
        <w:spacing w:line="276" w:lineRule="auto"/>
        <w:ind w:firstLine="708"/>
        <w:rPr>
          <w:spacing w:val="-6"/>
        </w:rPr>
      </w:pPr>
      <w:r>
        <w:rPr>
          <w:spacing w:val="-6"/>
        </w:rPr>
        <w:t xml:space="preserve">29 семинаров (2023 г. – 39), число участников – 675 человек (2023 г. – 700); </w:t>
      </w:r>
    </w:p>
    <w:p w:rsidR="00DC1467" w:rsidRDefault="00B70D3E">
      <w:pPr>
        <w:spacing w:line="276" w:lineRule="auto"/>
        <w:ind w:firstLine="708"/>
      </w:pPr>
      <w:r>
        <w:t xml:space="preserve">33 тренинга (2023 г. – 41), число участников – 1 155 человек (2023 г. – 2 556); </w:t>
      </w:r>
    </w:p>
    <w:p w:rsidR="00DC1467" w:rsidRDefault="00B70D3E">
      <w:pPr>
        <w:spacing w:line="276" w:lineRule="auto"/>
        <w:ind w:firstLine="708"/>
      </w:pPr>
      <w:r>
        <w:t>302 урока здоровья для дошкольников и школьников (2023 г. – 569), число участников – 10 483 челов</w:t>
      </w:r>
      <w:r>
        <w:t xml:space="preserve">ека (2023 – 14 147); </w:t>
      </w:r>
    </w:p>
    <w:p w:rsidR="00DC1467" w:rsidRDefault="00B70D3E">
      <w:pPr>
        <w:spacing w:line="276" w:lineRule="auto"/>
        <w:ind w:firstLine="708"/>
      </w:pPr>
      <w:r>
        <w:t xml:space="preserve">1 086 кинодемонстраций (2023 г. – 1 163), число зрителей – 29 689 человек (2023 г. – 47 098); </w:t>
      </w:r>
    </w:p>
    <w:p w:rsidR="00DC1467" w:rsidRDefault="00B70D3E">
      <w:pPr>
        <w:spacing w:line="276" w:lineRule="auto"/>
        <w:ind w:firstLine="708"/>
      </w:pPr>
      <w:r>
        <w:t>506 массовых мероприятий (акции, круглые столы, флешмобы, конкурсы, викторины и др., 2023 г. – 558), общее число участников – 99 736 челове</w:t>
      </w:r>
      <w:r>
        <w:t>к (2023 г. – 187 680);</w:t>
      </w:r>
    </w:p>
    <w:p w:rsidR="00DC1467" w:rsidRDefault="00B70D3E">
      <w:pPr>
        <w:spacing w:line="276" w:lineRule="auto"/>
        <w:ind w:firstLine="708"/>
      </w:pPr>
      <w:r>
        <w:t>размещено 2 503 средства наглядной агитации (2023 г. – 5 530);</w:t>
      </w:r>
    </w:p>
    <w:p w:rsidR="00DC1467" w:rsidRDefault="00B70D3E">
      <w:pPr>
        <w:spacing w:line="276" w:lineRule="auto"/>
        <w:ind w:firstLine="708"/>
      </w:pPr>
      <w:r>
        <w:t xml:space="preserve">распространено 105 907 экз. тематической печатной продукции </w:t>
      </w:r>
      <w:r>
        <w:br/>
        <w:t>(2023 г. – 104 686).</w:t>
      </w:r>
    </w:p>
    <w:p w:rsidR="00DC1467" w:rsidRDefault="00B70D3E">
      <w:pPr>
        <w:spacing w:line="276" w:lineRule="auto"/>
        <w:ind w:firstLine="708"/>
      </w:pPr>
      <w:r>
        <w:t>Приоритетным направлением для популяризации здорового образа жизни и профилактики инфекц</w:t>
      </w:r>
      <w:r>
        <w:t>ионных и неинфекционных заболеваний определено сотрудничество медицинских организаций с Ханты-Мансийским региональным отделением Всероссийского общественного движения «Волонтеры-медики».</w:t>
      </w:r>
    </w:p>
    <w:p w:rsidR="00DC1467" w:rsidRDefault="00B70D3E">
      <w:pPr>
        <w:spacing w:line="276" w:lineRule="auto"/>
        <w:ind w:firstLine="708"/>
      </w:pPr>
      <w:r>
        <w:t>В сфере здравоохранения автономного округа в настоящее время трудятся</w:t>
      </w:r>
      <w:r>
        <w:t xml:space="preserve"> 2 802 добровольца, которые активно принимают участие в акциях и мероприятиях медицинского добровольчества. </w:t>
      </w:r>
    </w:p>
    <w:p w:rsidR="00DC1467" w:rsidRDefault="00B70D3E">
      <w:pPr>
        <w:spacing w:line="276" w:lineRule="auto"/>
        <w:ind w:firstLine="708"/>
      </w:pPr>
      <w:r>
        <w:t>В 2024 году при участии 2 529 волонтеров проведено 829 мероприятий, направленных на популяризацию здорового образа жизни и медицинского добровольче</w:t>
      </w:r>
      <w:r>
        <w:t>ства, профилактику заболеваний, в которых приняли участие 33 015 югорчан (2023 г. – 1 053 мероприятия, число участников – 43 170).</w:t>
      </w:r>
    </w:p>
    <w:p w:rsidR="00DC1467" w:rsidRDefault="00B70D3E">
      <w:pPr>
        <w:spacing w:line="276" w:lineRule="auto"/>
        <w:ind w:firstLine="709"/>
        <w:rPr>
          <w:bCs/>
        </w:rPr>
      </w:pPr>
      <w:r>
        <w:rPr>
          <w:lang w:eastAsia="en-US"/>
        </w:rPr>
        <w:t>По сведениям Департамента образования и науки Ханты-Мансийского автономного округа – Югры,</w:t>
      </w:r>
      <w:r>
        <w:rPr>
          <w:i/>
          <w:lang w:eastAsia="en-US"/>
        </w:rPr>
        <w:t xml:space="preserve"> </w:t>
      </w:r>
      <w:r>
        <w:rPr>
          <w:lang w:eastAsia="en-US"/>
        </w:rPr>
        <w:t>в 2023-2024 учебном году</w:t>
      </w:r>
      <w:r>
        <w:rPr>
          <w:color w:val="000000"/>
          <w:shd w:val="clear" w:color="auto" w:fill="FFFFFF"/>
          <w:lang w:eastAsia="ar-SA"/>
        </w:rPr>
        <w:t xml:space="preserve"> </w:t>
      </w:r>
      <w:r>
        <w:t>количеств</w:t>
      </w:r>
      <w:r>
        <w:t>о общих проведенных муниципальных мероприятий, направленных на профилактику употребления НС и ПАВ обучающимися в образовательных организациях автономного округа, составило 5376 ед. (</w:t>
      </w:r>
      <w:r>
        <w:rPr>
          <w:bCs/>
        </w:rPr>
        <w:t xml:space="preserve">что на 295 муниципальных мероприятий меньше показателя прошлого отчетного </w:t>
      </w:r>
      <w:r>
        <w:rPr>
          <w:bCs/>
        </w:rPr>
        <w:t xml:space="preserve">периода, </w:t>
      </w:r>
      <w:r>
        <w:t xml:space="preserve">5081 ед.). Мероприятия межведомственного характера составили 1075 ед. (на 315 ед. меньше, чем в 2022-2023 учебном году – 1390 ед.). </w:t>
      </w:r>
      <w:r>
        <w:rPr>
          <w:bCs/>
        </w:rPr>
        <w:t xml:space="preserve">Главными участниками мероприятий по профилактике употребления НС и ПАВ являлись: </w:t>
      </w:r>
    </w:p>
    <w:p w:rsidR="00DC1467" w:rsidRDefault="00B70D3E">
      <w:pPr>
        <w:spacing w:line="276" w:lineRule="auto"/>
        <w:ind w:firstLine="709"/>
        <w:contextualSpacing/>
        <w:rPr>
          <w:bCs/>
        </w:rPr>
      </w:pPr>
      <w:r>
        <w:rPr>
          <w:bCs/>
        </w:rPr>
        <w:t xml:space="preserve">обучающиеся – 139431 человек, по </w:t>
      </w:r>
      <w:r>
        <w:rPr>
          <w:bCs/>
        </w:rPr>
        <w:t xml:space="preserve">сравнению с прошлым годом (177438 человек) их количество уменьшилось на 38007 человек; </w:t>
      </w:r>
    </w:p>
    <w:p w:rsidR="00DC1467" w:rsidRDefault="00B70D3E">
      <w:pPr>
        <w:spacing w:line="276" w:lineRule="auto"/>
        <w:ind w:firstLine="709"/>
        <w:contextualSpacing/>
        <w:rPr>
          <w:bCs/>
        </w:rPr>
      </w:pPr>
      <w:r>
        <w:rPr>
          <w:bCs/>
        </w:rPr>
        <w:t>родители (законные представители) обучающихся образовательных организаций – 101818 человек, по сравнению с прошлым годом (126717 человек) их количество сократилось на 2</w:t>
      </w:r>
      <w:r>
        <w:rPr>
          <w:bCs/>
        </w:rPr>
        <w:t xml:space="preserve">4899 человек; </w:t>
      </w:r>
    </w:p>
    <w:p w:rsidR="00DC1467" w:rsidRDefault="00B70D3E">
      <w:pPr>
        <w:spacing w:line="276" w:lineRule="auto"/>
        <w:ind w:firstLine="709"/>
        <w:contextualSpacing/>
      </w:pPr>
      <w:r>
        <w:rPr>
          <w:bCs/>
        </w:rPr>
        <w:t xml:space="preserve">специалисты образовательных организаций – 5295 человек, по сравнению с прошлым годом (4656 человек) количество специалистов увеличилось на 639 человек. </w:t>
      </w:r>
    </w:p>
    <w:p w:rsidR="00DC1467" w:rsidRDefault="00B70D3E">
      <w:pPr>
        <w:spacing w:line="276" w:lineRule="auto"/>
        <w:ind w:firstLine="709"/>
        <w:contextualSpacing/>
      </w:pPr>
      <w:r>
        <w:t>В образовательных организациях автономного округа в 2023-2024 учебном году реализованы к</w:t>
      </w:r>
      <w:r>
        <w:t>омплексы психолого-педагогических мероприятий. В их числе: в 316 образовательных организациях организована работа по годовым планам, направленным на профилактику употребления НС и ПАВ среди обучающихся (на 9 годовых планов больше, чем в 2022-2023 учебном г</w:t>
      </w:r>
      <w:r>
        <w:t xml:space="preserve">оду, 307 ед.). </w:t>
      </w:r>
    </w:p>
    <w:p w:rsidR="00DC1467" w:rsidRDefault="00B70D3E">
      <w:pPr>
        <w:spacing w:line="276" w:lineRule="auto"/>
        <w:ind w:firstLine="709"/>
        <w:contextualSpacing/>
      </w:pPr>
      <w:r>
        <w:t xml:space="preserve">В образовательных организациях Югры оформлены 320 информационных стендов, содержащих списки телефонных номеров территориальных комиссий по делам несовершеннолетних и защите их прав, отдела органов внутренних дел, телефонов доверия и других </w:t>
      </w:r>
      <w:r>
        <w:t xml:space="preserve">учреждений, оказывающих помощь по вопросам профилактики употребления </w:t>
      </w:r>
      <w:bookmarkStart w:id="3" w:name="_Hlk168047034"/>
      <w:r>
        <w:t>НС и ПАВ</w:t>
      </w:r>
      <w:bookmarkEnd w:id="3"/>
      <w:r>
        <w:t xml:space="preserve">. Данная информация размещена также на сайтах всех образовательных организаций автономного округа. </w:t>
      </w:r>
    </w:p>
    <w:p w:rsidR="00DC1467" w:rsidRDefault="00B70D3E">
      <w:pPr>
        <w:spacing w:line="276" w:lineRule="auto"/>
        <w:ind w:firstLine="709"/>
        <w:contextualSpacing/>
      </w:pPr>
      <w:r>
        <w:t>В целом, за анализируемый период м</w:t>
      </w:r>
      <w:r>
        <w:rPr>
          <w:bCs/>
        </w:rPr>
        <w:t>аксимальное количество участников из числа об</w:t>
      </w:r>
      <w:r>
        <w:rPr>
          <w:bCs/>
        </w:rPr>
        <w:t xml:space="preserve">учающихся было задействовано: </w:t>
      </w:r>
    </w:p>
    <w:p w:rsidR="00DC1467" w:rsidRDefault="00B70D3E">
      <w:pPr>
        <w:spacing w:line="276" w:lineRule="auto"/>
        <w:ind w:firstLine="709"/>
        <w:contextualSpacing/>
      </w:pPr>
      <w:r>
        <w:t>в мероприятиях внеурочной активности – 168979 обучающихся (92,4 % от общего количества обучающихся, с которыми проведена общая профилактическая работа, направленная на предупреждение употребления НС и ПАВ (182780 чел.), что н</w:t>
      </w:r>
      <w:r>
        <w:t xml:space="preserve">а 5,1 % меньше, чем в 2022-2023 учебном году – 97,5 %); </w:t>
      </w:r>
    </w:p>
    <w:p w:rsidR="00DC1467" w:rsidRDefault="00B70D3E">
      <w:pPr>
        <w:spacing w:line="276" w:lineRule="auto"/>
        <w:ind w:firstLine="709"/>
        <w:contextualSpacing/>
      </w:pPr>
      <w:r>
        <w:t>в ме</w:t>
      </w:r>
      <w:r>
        <w:t xml:space="preserve">жведомственных профилактических мероприятиях муниципального уровня – 153549 обучающихся (84,0% от общего количества обучающихся, с которыми проведена общая профилактическая работа (182780 чел.), что на 5,3 % больше, чем в 2022-2023 учебном году – 78,7 %); </w:t>
      </w:r>
    </w:p>
    <w:p w:rsidR="00DC1467" w:rsidRDefault="00B70D3E">
      <w:pPr>
        <w:spacing w:line="276" w:lineRule="auto"/>
        <w:ind w:firstLine="709"/>
        <w:contextualSpacing/>
      </w:pPr>
      <w:r>
        <w:t>в месячнике антинаркотической направленности и популяризации здорового образа жизни – 148668 обучающихся (81,3 % от общего количества обучающихся, с которыми проведена общая профилактическая работа (182780 чел.), что на 3,8 % меньше, чем в 2022-2023 учебн</w:t>
      </w:r>
      <w:r>
        <w:t xml:space="preserve">ом году – 85,1 %). </w:t>
      </w:r>
    </w:p>
    <w:p w:rsidR="00DC1467" w:rsidRDefault="00B70D3E">
      <w:pPr>
        <w:spacing w:line="276" w:lineRule="auto"/>
        <w:ind w:firstLine="709"/>
        <w:contextualSpacing/>
      </w:pPr>
      <w:r>
        <w:t xml:space="preserve">Общее количество родителей (законных представителей), </w:t>
      </w:r>
      <w:r>
        <w:br/>
        <w:t xml:space="preserve">с которыми проведена общая профилактическая работа, составило 239447 человек (на 7266 человек меньше показателя 2022/2023 учебного года). </w:t>
      </w:r>
    </w:p>
    <w:p w:rsidR="00DC1467" w:rsidRDefault="00B70D3E">
      <w:pPr>
        <w:spacing w:line="276" w:lineRule="auto"/>
        <w:ind w:firstLine="709"/>
      </w:pPr>
      <w:r>
        <w:t xml:space="preserve">Наибольшее количество родителей (законных </w:t>
      </w:r>
      <w:r>
        <w:t xml:space="preserve">представителей) было охвачено психопросветительской работой – 89,1 % (на 10,9 % меньше по сравнению с прошлым годом – 100 %), направлением «Родительский всеобуч» – 47,4 % (на 5,2 % больше по сравнению с прошлым годом – 42,2 %), групповыми консультациями с </w:t>
      </w:r>
      <w:r>
        <w:t xml:space="preserve">приглашением специалистов на встречи с родителями – 41,9 % (на 3,6 % меньше по сравнению с прошлым годом – 45,5 %). </w:t>
      </w:r>
    </w:p>
    <w:p w:rsidR="00DC1467" w:rsidRDefault="00B70D3E">
      <w:pPr>
        <w:spacing w:line="276" w:lineRule="auto"/>
        <w:ind w:firstLine="709"/>
      </w:pPr>
      <w:r>
        <w:t>Количество обучающихся, с которыми проведена общая профилактическая работа, направленная на предупреждение у</w:t>
      </w:r>
      <w:r>
        <w:rPr>
          <w:bCs/>
        </w:rPr>
        <w:t xml:space="preserve">потребления НС и ПАВ в </w:t>
      </w:r>
      <w:r>
        <w:t>2023-202</w:t>
      </w:r>
      <w:r>
        <w:t xml:space="preserve">4 учебном году, составило 182780 человек. </w:t>
      </w:r>
    </w:p>
    <w:p w:rsidR="00DC1467" w:rsidRDefault="00B70D3E">
      <w:pPr>
        <w:spacing w:line="276" w:lineRule="auto"/>
        <w:ind w:firstLine="709"/>
        <w:rPr>
          <w:bCs/>
        </w:rPr>
      </w:pPr>
      <w:r>
        <w:t>Б</w:t>
      </w:r>
      <w:r>
        <w:rPr>
          <w:bCs/>
        </w:rPr>
        <w:t xml:space="preserve">о́льшая активность участников из числа обучающихся наблюдается </w:t>
      </w:r>
      <w:r>
        <w:rPr>
          <w:bCs/>
        </w:rPr>
        <w:br/>
        <w:t>в лекциях по вопросам профилактики ВИЧ-инфекции (76959 человек (42,1 %), что на 3,9 % больше показателя прошлого года – 38,2 %); во Всероссийских ак</w:t>
      </w:r>
      <w:r>
        <w:rPr>
          <w:bCs/>
        </w:rPr>
        <w:t>циях («СТОПВИЧСПИД», «Красная лента» и др.) (71820 человек (39,3 %), что на 2,9 % больше показателя прошлого года – 36,4 %); в опросах, направленных на определение уровня информированности обучающихся о ВИЧ-инфекции (42881 человек (23,5 %), что на 2,6 % ме</w:t>
      </w:r>
      <w:r>
        <w:rPr>
          <w:bCs/>
        </w:rPr>
        <w:t>ньше показателя прошлого года – 26,1 %).</w:t>
      </w:r>
      <w:r>
        <w:t xml:space="preserve"> </w:t>
      </w:r>
    </w:p>
    <w:p w:rsidR="00DC1467" w:rsidRDefault="00B70D3E">
      <w:pPr>
        <w:spacing w:line="276" w:lineRule="auto"/>
        <w:ind w:firstLine="709"/>
      </w:pPr>
      <w:r>
        <w:t xml:space="preserve">Общее количество обучающихся образовательных организаций </w:t>
      </w:r>
      <w:r>
        <w:br/>
        <w:t>с выявленной высокой вероятностью рискового поведения по итогам социально-психологического тестирования, с которыми проведена профилактическая работа, соста</w:t>
      </w:r>
      <w:r>
        <w:t>вило 26645 человек, что в 2,9 раза больше показателя прошлого года (9219 обучающихся). По итогу этой деятельности зафиксировано снижение количества обучающихся, нуждающихся в коррекционной работе на 83,2 % (с 85,8 % до 2,6 %), в прошлом 2022-2023 учебном г</w:t>
      </w:r>
      <w:r>
        <w:t xml:space="preserve">оду количество указанных обучающихся снизилось на 24,9 %. </w:t>
      </w:r>
    </w:p>
    <w:p w:rsidR="00DC1467" w:rsidRDefault="00B70D3E">
      <w:pPr>
        <w:spacing w:line="276" w:lineRule="auto"/>
        <w:ind w:firstLine="709"/>
      </w:pPr>
      <w:r>
        <w:t xml:space="preserve">Одним из приоритетных направлений деятельности УМВД России по </w:t>
      </w:r>
      <w:r>
        <w:rPr>
          <w:color w:val="000000"/>
        </w:rPr>
        <w:t>Ханты-Мансийского автономному округу – Югре</w:t>
      </w:r>
      <w:r>
        <w:t xml:space="preserve"> остается сокращение спроса на наркотики путем проведения мероприятий, направленных на профи</w:t>
      </w:r>
      <w:r>
        <w:t>лактику девиантного поведения в подростковой среде, предупреждение и пресечение правонарушений, совершаемых несовершеннолетними, а также организации информационно-разъяснительной работы с населением, о вреде потребления алкоголя, наркотических средств и пс</w:t>
      </w:r>
      <w:r>
        <w:t>ихотропных веществ.</w:t>
      </w:r>
    </w:p>
    <w:p w:rsidR="00DC1467" w:rsidRDefault="00B70D3E">
      <w:pPr>
        <w:spacing w:line="276" w:lineRule="auto"/>
        <w:ind w:firstLine="709"/>
      </w:pPr>
      <w:r>
        <w:t>В целях предупреждения употребления несовершеннолетними наркотических средств, психотропных веществ, новых потенциально опасных психоактивных или одурманивающих веществ сотрудники ОВД автономного округа в течение 2024 года принимали акт</w:t>
      </w:r>
      <w:r>
        <w:t>ивное участие в организации и проведении оперативно-профилактических мероприятий и акций: 2 этапа Общероссийской акции «Сообщи, где торгуют смертью» (1 этап – с 18 по 29 марта 2024 года; 2 этап – с 14 по 25 октября 2024 года), 2 этапа межведомственной комп</w:t>
      </w:r>
      <w:r>
        <w:t>лексной оперативно-профилактической операции «Чистое поколение-2024» (1 этап – с 8 по 17 апреля 2024 года; 2 этап – с 11 по 20 ноября 2024 года); 2 этапа Общероссийская акция «Призывник» (1 этап –  1 апреля по 15 июля 2024 года, 2 этап — с 1 октября по 1 д</w:t>
      </w:r>
      <w:r>
        <w:t>екабря 2024 года); ОПМ «Здоровье» (с 03 по 05 апреля 2024 года); ОПМ «Защита» (с 1 по 10 июня 2024 года), ОПМ «Подросток» (с 23 по 27 сентября 2024 года).</w:t>
      </w:r>
    </w:p>
    <w:p w:rsidR="00DC1467" w:rsidRDefault="00B70D3E">
      <w:pPr>
        <w:spacing w:line="276" w:lineRule="auto"/>
        <w:ind w:firstLine="709"/>
      </w:pPr>
      <w:r>
        <w:t>В рамках указанных мероприятий и текущей деятельности совместно с представителями субъектов профилакт</w:t>
      </w:r>
      <w:r>
        <w:t>ики организовано и проведено более 14 тыс. информационно-просветительских мероприятий для обучающихся образовательных учреждений Югры (14193, п.г.</w:t>
      </w:r>
      <w:r>
        <w:rPr>
          <w:rStyle w:val="af1"/>
        </w:rPr>
        <w:footnoteReference w:id="39"/>
      </w:r>
      <w:r>
        <w:t xml:space="preserve"> – 19953), направленных на повышение правовой грамотности в сфере контроля за оборотом наркотиков и формирова</w:t>
      </w:r>
      <w:r>
        <w:t xml:space="preserve">ние здорового образа жизни (кинолектории, беседы, брифинги, круглые столы). </w:t>
      </w:r>
    </w:p>
    <w:p w:rsidR="00DC1467" w:rsidRDefault="00B70D3E">
      <w:pPr>
        <w:spacing w:line="276" w:lineRule="auto"/>
        <w:ind w:firstLine="709"/>
      </w:pPr>
      <w:r>
        <w:t>В ходе кинолекториев подросткам демонстрировались видеофильмы профилактического содержания, доводилась информация о пагубном воздействии наркотиков на организм человека, распростр</w:t>
      </w:r>
      <w:r>
        <w:t>анялись агитационные материалы антинаркотического содержания.</w:t>
      </w:r>
    </w:p>
    <w:p w:rsidR="00DC1467" w:rsidRDefault="00B70D3E">
      <w:pPr>
        <w:spacing w:line="276" w:lineRule="auto"/>
        <w:ind w:firstLine="709"/>
        <w:rPr>
          <w:rFonts w:eastAsia="Arial Unicode MS"/>
        </w:rPr>
      </w:pPr>
      <w:r>
        <w:t>В течение учебного года в общеобразовательных учреждениях округа с участием сотрудников подразделений по делам несовершеннолетних организовываются и проводятся традиционные конкурсы рисунков и к</w:t>
      </w:r>
      <w:r>
        <w:t>онкурсы плакатов по профилактике употребления наркотиков, классные часы и конференции на антинаркотическую тему, оформляются стенды по профилактике преступлений, правонарушений, наркомании и алкоголизации среди несовершеннолетних.</w:t>
      </w:r>
    </w:p>
    <w:p w:rsidR="00DC1467" w:rsidRDefault="00B70D3E">
      <w:pPr>
        <w:spacing w:line="276" w:lineRule="auto"/>
        <w:ind w:firstLine="709"/>
      </w:pPr>
      <w:r>
        <w:t>Продолжена разъяснительна</w:t>
      </w:r>
      <w:r>
        <w:t xml:space="preserve">я работа с родителями обучающихся, направленная на профилактику наркомании и наркопреступности в подростковой и молодежной среде. С участием сотрудников полиции состоялось 1270 родительских собраний (п.г. – 1385), в том числе на указанные темы – более 802 </w:t>
      </w:r>
      <w:r>
        <w:t>(п.г. – 690).</w:t>
      </w:r>
    </w:p>
    <w:p w:rsidR="00DC1467" w:rsidRDefault="00B70D3E">
      <w:pPr>
        <w:spacing w:line="276" w:lineRule="auto"/>
        <w:ind w:firstLine="709"/>
      </w:pPr>
      <w:r>
        <w:t xml:space="preserve">В период ученических каникул с участием сотрудников подразделений по </w:t>
      </w:r>
      <w:r>
        <w:t xml:space="preserve">контролю за оборотом наркотиков и по делам несовершеннолетних УМВД по округу, во взаимодействии с Департаментом внутренней политики, Департаментом здравоохранения, Департаментом образования и молодежной политики, Департаментом физической культуры и спорта </w:t>
      </w:r>
      <w:r>
        <w:br/>
        <w:t>Ханты-Мансийского автономного округа – Югры и другими заинтересованными ведомствами проведено 431 (п.г. – 829) профилактическое мероприятие, приуроченное к Международному дню борьбы с наркоманией и незаконным оборотом наркотиков.</w:t>
      </w:r>
    </w:p>
    <w:p w:rsidR="00DC1467" w:rsidRDefault="00B70D3E">
      <w:pPr>
        <w:spacing w:line="276" w:lineRule="auto"/>
        <w:ind w:firstLine="709"/>
      </w:pPr>
      <w:r>
        <w:t>В целях привлечения внима</w:t>
      </w:r>
      <w:r>
        <w:t>ния общественности к проблеме наркомании и формирования в обществе негативного отношения к незаконному потреблению наркотиков, в период с 10 января по 20 февраля 2024 года организовано проведение регионального этапа Всероссийского конкурса социальной рекла</w:t>
      </w:r>
      <w:r>
        <w:t xml:space="preserve">мы антинаркотической направленности и пропаганды здорового образа жизни «Спасем жизнь вместе». </w:t>
      </w:r>
    </w:p>
    <w:p w:rsidR="00DC1467" w:rsidRDefault="00B70D3E">
      <w:pPr>
        <w:spacing w:line="276" w:lineRule="auto"/>
        <w:ind w:firstLine="709"/>
      </w:pPr>
      <w:r>
        <w:t>Для реализации мероприятий и акций профилактической направленности: Межведомственной оперативно-профилактической операции «Дети России», Общероссийской акции «С</w:t>
      </w:r>
      <w:r>
        <w:t>ообщи, где торгуют смертью», а также мероприятий, приуроченных к Международному дню борьбы с наркоманией (26 июня), активно привлекаются организации волонтеров и добровольцев, участвующих в проектах, направленных на пропаганду здорового образа жизни, профи</w:t>
      </w:r>
      <w:r>
        <w:t>лактику алкоголизма, наркомании и табакокурения в подростковой и молодежной среде.</w:t>
      </w:r>
    </w:p>
    <w:p w:rsidR="00DC1467" w:rsidRDefault="00B70D3E">
      <w:pPr>
        <w:spacing w:line="276" w:lineRule="auto"/>
        <w:ind w:firstLine="709"/>
      </w:pPr>
      <w:r>
        <w:t>Кроме того, с представителями молодежных и волонтерских организаций автономного округа, субъектами профилактики наркомании проводятся различного рода семинары и круглые стол</w:t>
      </w:r>
      <w:r>
        <w:t xml:space="preserve">ы, на которых обмениваются мнениями по формам и методам профилактики наркомании и правонарушений несовершеннолетних. </w:t>
      </w:r>
    </w:p>
    <w:p w:rsidR="00DC1467" w:rsidRDefault="00B70D3E">
      <w:pPr>
        <w:spacing w:line="276" w:lineRule="auto"/>
        <w:ind w:firstLine="709"/>
      </w:pPr>
      <w:r>
        <w:t>В целях противодействия пропаганде и рекламе наркотиков в сети Интернет, а также ограничения свободного доступа граждан к Интернет-ресурса</w:t>
      </w:r>
      <w:r>
        <w:t>м, содержащим противоправный контент в сфере незаконного оборота наркотиков, УМВД России по округу во взаимодействии с АУ «Югорский НИИ Информационных технологий» с привлечением молодежных ячеек «Кибердружин», созданных в автономном округе продолжена работ</w:t>
      </w:r>
      <w:r>
        <w:t xml:space="preserve">а по мониторингу сети интернет с последующей блокировкой ресурсов пронаркотического содержания. </w:t>
      </w:r>
    </w:p>
    <w:p w:rsidR="00DC1467" w:rsidRDefault="00B70D3E">
      <w:pPr>
        <w:spacing w:line="276" w:lineRule="auto"/>
        <w:ind w:firstLine="709"/>
      </w:pPr>
      <w:r>
        <w:t>В результате данного взаимодействия осуществлена проверка более семисот подозрительных ресурсов (740, п.г. – 961), заблокирован доступ к 11 ресурсам (п.г. – 82</w:t>
      </w:r>
      <w:r>
        <w:t>), содержащим противоправный контент, связанный с незаконным оборотом наркотиков и пропагандой их употребления.</w:t>
      </w:r>
    </w:p>
    <w:p w:rsidR="00DC1467" w:rsidRDefault="00B70D3E">
      <w:pPr>
        <w:spacing w:line="276" w:lineRule="auto"/>
        <w:ind w:firstLine="709"/>
      </w:pPr>
      <w:r>
        <w:t>Справочно: Кроме того, продолжена работа по мониторингу сети Интернет в ручном режиме, по результатам которого сотрудниками УНК УМВД России по о</w:t>
      </w:r>
      <w:r>
        <w:t>кругу в адрес ЕАИС «Единый реестр» направлены сведения о 31 Интернет-ресурсе (п.г. – 28). По данным сообщениям информация о наличии противоправного контента в сфере НОН подтверждена по 15 (п.г. – 18).</w:t>
      </w:r>
    </w:p>
    <w:p w:rsidR="00DC1467" w:rsidRDefault="00B70D3E">
      <w:pPr>
        <w:spacing w:line="276" w:lineRule="auto"/>
        <w:ind w:firstLine="709"/>
        <w:rPr>
          <w:rFonts w:eastAsia="Arial Unicode MS"/>
        </w:rPr>
      </w:pPr>
      <w:r>
        <w:rPr>
          <w:rFonts w:eastAsia="Arial Unicode MS"/>
        </w:rPr>
        <w:t>В результате реализованных в течение 2024 года профилак</w:t>
      </w:r>
      <w:r>
        <w:rPr>
          <w:rFonts w:eastAsia="Arial Unicode MS"/>
        </w:rPr>
        <w:t>тических мер, удалось достичь положительной тенденции по ряду направлений, характеризующих развитие наркоситуации на территории округа:</w:t>
      </w:r>
    </w:p>
    <w:p w:rsidR="00DC1467" w:rsidRDefault="00B70D3E">
      <w:pPr>
        <w:spacing w:line="276" w:lineRule="auto"/>
        <w:ind w:firstLine="709"/>
        <w:rPr>
          <w:rFonts w:eastAsia="Arial Unicode MS"/>
        </w:rPr>
      </w:pPr>
      <w:r>
        <w:rPr>
          <w:rFonts w:eastAsia="Arial Unicode MS"/>
        </w:rPr>
        <w:t>на 16,2% сократилось количество преступлений, совершенных наркопотребителями (с 1442 до 1208), в том числе наркопреступл</w:t>
      </w:r>
      <w:r>
        <w:rPr>
          <w:rFonts w:eastAsia="Arial Unicode MS"/>
        </w:rPr>
        <w:t>ений на 23,9% (с 949 до 722);</w:t>
      </w:r>
    </w:p>
    <w:p w:rsidR="00DC1467" w:rsidRDefault="00B70D3E">
      <w:pPr>
        <w:spacing w:line="276" w:lineRule="auto"/>
        <w:ind w:firstLine="709"/>
      </w:pPr>
      <w:r>
        <w:rPr>
          <w:rFonts w:eastAsia="Arial Unicode MS"/>
        </w:rPr>
        <w:t xml:space="preserve">на 9,6% сократилось число наркопотребителей, </w:t>
      </w:r>
      <w:r>
        <w:t>участников преступных посягательств (с 956 до 864), в том числе лиц, состоящих на наркологических учетах в связи с потреблением наркотиков, совершивших преступления на 25,6% (со 164</w:t>
      </w:r>
      <w:r>
        <w:t xml:space="preserve"> до 122), а также наркопотребителей, совершивших наркопреступления на 9% (с 598 до 544); </w:t>
      </w:r>
    </w:p>
    <w:p w:rsidR="00DC1467" w:rsidRDefault="00B70D3E">
      <w:pPr>
        <w:spacing w:line="276" w:lineRule="auto"/>
        <w:ind w:firstLine="709"/>
      </w:pPr>
      <w:r>
        <w:t>на 10,4 % уменьшилось количество преступлений, совершенных в состоянии наркотического опьянения (с 67 до 60), в том числе связанных с незаконным оборотом наркотиков н</w:t>
      </w:r>
      <w:r>
        <w:t>а 4,8 % (с 21 до 20);</w:t>
      </w:r>
    </w:p>
    <w:p w:rsidR="00DC1467" w:rsidRDefault="00B70D3E">
      <w:pPr>
        <w:spacing w:line="276" w:lineRule="auto"/>
        <w:ind w:firstLine="709"/>
      </w:pPr>
      <w:r>
        <w:t xml:space="preserve">на 4 % сократилась доля вовлеченных в незаконный оборот наркотиков, представителей молодежной среды в возрасте от 18 до 29 лет </w:t>
      </w:r>
      <w:r>
        <w:br/>
        <w:t>(с 39,6% до 35,6 %).</w:t>
      </w:r>
    </w:p>
    <w:p w:rsidR="00DC1467" w:rsidRDefault="00DC1467">
      <w:pPr>
        <w:spacing w:line="276" w:lineRule="auto"/>
        <w:ind w:firstLine="709"/>
        <w:rPr>
          <w:b/>
          <w:i/>
          <w:highlight w:val="yellow"/>
        </w:rPr>
      </w:pPr>
    </w:p>
    <w:p w:rsidR="00DC1467" w:rsidRDefault="00B70D3E">
      <w:pPr>
        <w:pStyle w:val="af5"/>
        <w:spacing w:after="0" w:line="276" w:lineRule="auto"/>
        <w:ind w:firstLine="709"/>
        <w:jc w:val="both"/>
        <w:outlineLvl w:val="0"/>
        <w:rPr>
          <w:b/>
          <w:i/>
          <w:sz w:val="28"/>
          <w:szCs w:val="28"/>
        </w:rPr>
      </w:pPr>
      <w:r>
        <w:rPr>
          <w:b/>
          <w:i/>
          <w:sz w:val="28"/>
          <w:szCs w:val="28"/>
        </w:rPr>
        <w:t>Состояние ситуации, связанной с организацией раннего выявления лиц, злоупотребляющих наркотиками, работы с группами риска, общей и индивидуальной профилактики в автономном округе</w:t>
      </w:r>
    </w:p>
    <w:p w:rsidR="00DC1467" w:rsidRDefault="00B70D3E">
      <w:pPr>
        <w:pStyle w:val="24"/>
        <w:shd w:val="clear" w:color="auto" w:fill="auto"/>
        <w:spacing w:after="0" w:line="276" w:lineRule="auto"/>
        <w:ind w:firstLine="709"/>
        <w:jc w:val="both"/>
        <w:rPr>
          <w:sz w:val="28"/>
          <w:szCs w:val="28"/>
        </w:rPr>
      </w:pPr>
      <w:r>
        <w:rPr>
          <w:sz w:val="28"/>
          <w:szCs w:val="28"/>
        </w:rPr>
        <w:t>На территории Ханты-Мансийского автономного округа – Югры реализуется система</w:t>
      </w:r>
      <w:r>
        <w:rPr>
          <w:sz w:val="28"/>
          <w:szCs w:val="28"/>
        </w:rPr>
        <w:t xml:space="preserve"> раннего выявления лиц, допускающих немедицинское потребление наркотических средств и психотропных веществ, определенная Стратегией государственной антинаркотической политики Российской Федерации на период до 2030 года, утвержденной Указом Президента Росси</w:t>
      </w:r>
      <w:r>
        <w:rPr>
          <w:sz w:val="28"/>
          <w:szCs w:val="28"/>
        </w:rPr>
        <w:t>йской Федерации от 23.11.2020 № 733.</w:t>
      </w:r>
    </w:p>
    <w:p w:rsidR="00DC1467" w:rsidRDefault="00B70D3E">
      <w:pPr>
        <w:spacing w:line="276" w:lineRule="auto"/>
        <w:ind w:firstLine="709"/>
        <w:rPr>
          <w:rFonts w:eastAsia="Calibri"/>
          <w:lang w:eastAsia="en-US"/>
        </w:rPr>
      </w:pPr>
      <w:r>
        <w:rPr>
          <w:rFonts w:eastAsia="Calibri"/>
          <w:lang w:eastAsia="en-US"/>
        </w:rPr>
        <w:t xml:space="preserve">В соответствии с </w:t>
      </w:r>
      <w:hyperlink r:id="rId49" w:tooltip="garantF1://12007402.53044" w:history="1">
        <w:r>
          <w:rPr>
            <w:rFonts w:eastAsia="Calibri"/>
            <w:lang w:eastAsia="en-US"/>
          </w:rPr>
          <w:t>пунктом 4 статьи 53.4</w:t>
        </w:r>
      </w:hyperlink>
      <w:r>
        <w:rPr>
          <w:rFonts w:eastAsia="Calibri"/>
          <w:lang w:eastAsia="en-US"/>
        </w:rPr>
        <w:t xml:space="preserve"> Федерального закона от 08.01.1998 № 3-ФЗ «О наркотических средствах и психотропных веществах» </w:t>
      </w:r>
      <w:r>
        <w:t>Приказом Минз</w:t>
      </w:r>
      <w:r>
        <w:t>драва РФ от 06.10.2014 № 581н утвержден Порядок проведения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w:t>
      </w:r>
      <w:r>
        <w:t xml:space="preserve">елях раннего выявления незаконного потребления наркотических средств и психотропных веществ (далее – Порядок). </w:t>
      </w:r>
    </w:p>
    <w:p w:rsidR="00DC1467" w:rsidRDefault="00B70D3E">
      <w:pPr>
        <w:spacing w:line="276" w:lineRule="auto"/>
        <w:ind w:firstLine="709"/>
      </w:pPr>
      <w:r>
        <w:t>В целях раннего выявления незаконного потребления наркотических средств и психотропных веществ Порядком определены правила проведения медицински</w:t>
      </w:r>
      <w:r>
        <w:t>х осмотров, обучающихся в школах, средних и высших учебных заведениях.</w:t>
      </w:r>
    </w:p>
    <w:p w:rsidR="00DC1467" w:rsidRDefault="00B70D3E">
      <w:pPr>
        <w:spacing w:line="276" w:lineRule="auto"/>
        <w:ind w:firstLine="709"/>
      </w:pPr>
      <w:r>
        <w:t>По результатам социально-психологического тестирования в 2023-2024 учебном году профилактическим медицинским осмотрам подлежали 3 464 человек – группа рискогенного поведения, в отношени</w:t>
      </w:r>
      <w:r>
        <w:t>и которых были составлены календарные планы прохождения профилактических медицинских осмотров. Охвачено профилактическими медицинскими осмотрами 2 217 человек, или 64,0 % от числа обучающихся из группы рискогенного поведения.</w:t>
      </w:r>
    </w:p>
    <w:p w:rsidR="00DC1467" w:rsidRDefault="00B70D3E">
      <w:pPr>
        <w:spacing w:line="276" w:lineRule="auto"/>
        <w:ind w:firstLine="709"/>
      </w:pPr>
      <w:r>
        <w:t>При этом количество обучающихс</w:t>
      </w:r>
      <w:r>
        <w:t xml:space="preserve">я, не прошедших профилактические медицинские осмотры по уважительным причинам, составило 213 человек (6,1 %). Отказались от прохождения профилактических медицинских осмотров 1034 человека (29,8 %). </w:t>
      </w:r>
    </w:p>
    <w:p w:rsidR="00DC1467" w:rsidRDefault="00B70D3E">
      <w:pPr>
        <w:spacing w:line="276" w:lineRule="auto"/>
        <w:ind w:firstLine="709"/>
      </w:pPr>
      <w:r>
        <w:t>На этапе предварительных химико-токсикологических исследо</w:t>
      </w:r>
      <w:r>
        <w:t xml:space="preserve">ваний </w:t>
      </w:r>
      <w:r>
        <w:rPr>
          <w:highlight w:val="white"/>
        </w:rPr>
        <w:t>(далее также – ХТИ)</w:t>
      </w:r>
      <w:r>
        <w:t xml:space="preserve"> получены отрицательные результаты. </w:t>
      </w:r>
    </w:p>
    <w:p w:rsidR="00DC1467" w:rsidRDefault="00B70D3E">
      <w:pPr>
        <w:spacing w:line="276" w:lineRule="auto"/>
        <w:ind w:firstLine="709"/>
      </w:pPr>
      <w:r>
        <w:t>При проведении профилактического медицинского осмотра с каждым тестируемым проводилась разъяснительная работа по вопросам профилактики и ведению здорового образа жизни, а также по недопущению уп</w:t>
      </w:r>
      <w:r>
        <w:t>отребления психоактивных веществ.</w:t>
      </w:r>
    </w:p>
    <w:p w:rsidR="00DC1467" w:rsidRDefault="00B70D3E">
      <w:pPr>
        <w:spacing w:line="276" w:lineRule="auto"/>
        <w:ind w:firstLine="709"/>
      </w:pPr>
      <w:r>
        <w:t xml:space="preserve">Дополнительно на территории автономного округа выстроена система мероприятий межведомственного взаимодействия военкомата и медицинских организаций по вопросам выявления потребителей психоактивных веществ, которая включена </w:t>
      </w:r>
      <w:r>
        <w:t>в алгоритм соответствующего медицинского освидетельствования и профилактических осмотров граждан допризывного и призывного возраста.</w:t>
      </w:r>
    </w:p>
    <w:p w:rsidR="00DC1467" w:rsidRDefault="00B70D3E">
      <w:pPr>
        <w:spacing w:line="276" w:lineRule="auto"/>
        <w:ind w:firstLine="709"/>
      </w:pPr>
      <w:r>
        <w:t>Профилактические медицинские осмотры учеников и студентов проводятся в четыре этапа.</w:t>
      </w:r>
    </w:p>
    <w:p w:rsidR="00DC1467" w:rsidRDefault="00B70D3E">
      <w:pPr>
        <w:spacing w:line="276" w:lineRule="auto"/>
        <w:ind w:firstLine="709"/>
      </w:pPr>
      <w:r>
        <w:t>На первом проводится информационно-раз</w:t>
      </w:r>
      <w:r>
        <w:t>ъяснительная беседа по вопросам незаконного потребления наркотиков, мотивационное интервью, направленное на формирование здорового образа жизни, исследуются кожные покровы, вестибулярные функции, видимые слизистые оболочки, измеряется артериальное давление</w:t>
      </w:r>
      <w:r>
        <w:t xml:space="preserve"> и др. На втором и третьем соответственно организуются предварительные и подтверждающие химико-токсикологические исследования (берется проба мочи). Наконец, обучающемуся (родителю, законному представителю) разъясняются результаты профосмотра.</w:t>
      </w:r>
    </w:p>
    <w:p w:rsidR="00DC1467" w:rsidRDefault="00B70D3E">
      <w:pPr>
        <w:spacing w:line="276" w:lineRule="auto"/>
        <w:ind w:firstLine="709"/>
      </w:pPr>
      <w:r>
        <w:t>Согласие на п</w:t>
      </w:r>
      <w:r>
        <w:t>роведение медицинского осмотра в обязательном порядке подтверждается письменным информированным согласием по утвержденной форме.</w:t>
      </w:r>
    </w:p>
    <w:p w:rsidR="00DC1467" w:rsidRDefault="00B70D3E">
      <w:pPr>
        <w:spacing w:line="276" w:lineRule="auto"/>
        <w:ind w:firstLine="709"/>
      </w:pPr>
      <w:r>
        <w:t>Медицинские осмотры проводятся в рамках программы государственных гарантий бесплатного оказания гражданам медицинской помощи.</w:t>
      </w:r>
    </w:p>
    <w:p w:rsidR="00DC1467" w:rsidRDefault="00B70D3E">
      <w:pPr>
        <w:spacing w:line="276" w:lineRule="auto"/>
        <w:ind w:firstLine="709"/>
      </w:pPr>
      <w:r>
        <w:t>В</w:t>
      </w:r>
      <w:r>
        <w:t xml:space="preserve"> случае выявления положительных результатов исследований обучающийся при наличии добровольного информированного согласия направляется на лечение в специализированное медицинское подразделение или организацию.</w:t>
      </w:r>
    </w:p>
    <w:p w:rsidR="00DC1467" w:rsidRDefault="00B70D3E">
      <w:pPr>
        <w:spacing w:line="276" w:lineRule="auto"/>
        <w:ind w:firstLine="709"/>
      </w:pPr>
      <w:r>
        <w:t>Предварительные химико-токсикологические исслед</w:t>
      </w:r>
      <w:r>
        <w:t>ования проводятся с использованием методов иммуноферментного или иммунохимического анализа, исключающих визуальную оценку результатов.</w:t>
      </w:r>
    </w:p>
    <w:p w:rsidR="00DC1467" w:rsidRDefault="00B70D3E">
      <w:pPr>
        <w:spacing w:line="276" w:lineRule="auto"/>
        <w:ind w:firstLine="709"/>
      </w:pPr>
      <w:r>
        <w:t>В рамках реализации проведения профилактических медицинских осмотров обучающихся образовательных организаций Ханты-Мансий</w:t>
      </w:r>
      <w:r>
        <w:t>ского автономного округа – Югры в целях раннего выявлению незаконного потребления наркотических средств и психотропных веществ проведены мероприятия по дооснащению материально-техническими средствами.</w:t>
      </w:r>
    </w:p>
    <w:p w:rsidR="00DC1467" w:rsidRDefault="00B70D3E">
      <w:pPr>
        <w:spacing w:line="276" w:lineRule="auto"/>
        <w:ind w:firstLine="709"/>
        <w:rPr>
          <w:szCs w:val="20"/>
        </w:rPr>
      </w:pPr>
      <w:r>
        <w:t xml:space="preserve">Взаимодействие Департамента образования и науки </w:t>
      </w:r>
      <w:r>
        <w:br/>
        <w:t>Ханты-</w:t>
      </w:r>
      <w:r>
        <w:t>Мансийского автономного округа – Югры, Департамента здравоохранения Ханты-Мансийского автономного округа – Югры, Департамента физической культуры и спорта Ханты-Мансийского автономного округа – Югры, Департамента культуры Ханты-Мансийского автономного окру</w:t>
      </w:r>
      <w:r>
        <w:t xml:space="preserve">га – Югры по вопросу проведения профилактических медицинских осмотров осуществлялось в рамках </w:t>
      </w:r>
      <w:r>
        <w:rPr>
          <w:szCs w:val="20"/>
        </w:rPr>
        <w:t xml:space="preserve">совместного приказа </w:t>
      </w:r>
      <w:r>
        <w:rPr>
          <w:szCs w:val="20"/>
        </w:rPr>
        <w:br/>
      </w:r>
      <w:r>
        <w:t xml:space="preserve">от 13.09.2023 № 10-П-2275/1357/329/09-ОД-167/01-09 «О проведении </w:t>
      </w:r>
      <w:r>
        <w:br/>
        <w:t>в 2023-2024 учебном году социально-психологического тестирования обучающихс</w:t>
      </w:r>
      <w:r>
        <w:t>я в общеобразовательных организациях и профессиональных образовательных организациях, а также в образовательных организациях высшего образования Ханты-Мансийского автономного округа – Югры, направленного на раннее выявление немедицинского потребления нарко</w:t>
      </w:r>
      <w:r>
        <w:t>тических средств и психотропных веществ, профилактических медицинских осмотров обучающихся и о признании утратившим силу приказа от 07.09.2022 № 10-П-1872/1401».</w:t>
      </w:r>
    </w:p>
    <w:p w:rsidR="00DC1467" w:rsidRDefault="00B70D3E">
      <w:pPr>
        <w:spacing w:line="276" w:lineRule="auto"/>
        <w:ind w:firstLine="709"/>
      </w:pPr>
      <w:r>
        <w:t>Профилактические медицинские осмотры обучающихся организуются и проводятся по итогам социально-психологического тестирования, реализуемого системой образования, с передачей результатов по группам высокого риска в систему здравоохранения.</w:t>
      </w:r>
    </w:p>
    <w:p w:rsidR="00DC1467" w:rsidRDefault="00B70D3E">
      <w:pPr>
        <w:tabs>
          <w:tab w:val="left" w:pos="1134"/>
        </w:tabs>
        <w:spacing w:line="276" w:lineRule="auto"/>
        <w:ind w:firstLine="709"/>
      </w:pPr>
      <w:r>
        <w:t>Приказом Департаме</w:t>
      </w:r>
      <w:r>
        <w:t xml:space="preserve">нта здравоохранения автономного округа от 01.04.2024 № 491 «О распределении тест-панелей для определения психоактивных веществ» обеспечена передача в 2 медицинские организации тест-панелей для одновременного определения 13 видов психоактивных веществ и их </w:t>
      </w:r>
      <w:r>
        <w:t>метаболитов в моче ИВД (амфетамин, барбитураты, бензодиазепин, кокаин, этилглюкуронид, синтетические каннабиноиды, метилендиоксиметамфетамин, катиноны, метамфетамин, метадон, опиаты, фенциклидин, марихуана) в общем количестве 256 единиц.</w:t>
      </w:r>
    </w:p>
    <w:p w:rsidR="00DC1467" w:rsidRDefault="00B70D3E">
      <w:pPr>
        <w:tabs>
          <w:tab w:val="left" w:pos="1134"/>
        </w:tabs>
        <w:spacing w:line="276" w:lineRule="auto"/>
        <w:ind w:firstLine="709"/>
      </w:pPr>
      <w:r>
        <w:t>Приказом Департаме</w:t>
      </w:r>
      <w:r>
        <w:t>нта здравоохранения автономного округа от 25.09.2024 № 1355 «О передаче наборов реагентов ФКУ «ЛИУ № 17 УФСИН по ХМАО – Югре» переданы тесты экспресс-системы «Нарколаб-мини», иммунохроматографического экспресс-анализа (амфетамин, барбитураты, бензодиазепин</w:t>
      </w:r>
      <w:r>
        <w:t>ы, кокаин, этилглюкуронид, синтетические каннабиноиды, метилендиоксиметамфетамин, катиноны, метамфетамин, метадон, опиаты, фенциклидин, марихуана) – 250 ед.</w:t>
      </w:r>
    </w:p>
    <w:p w:rsidR="00DC1467" w:rsidRDefault="00B70D3E">
      <w:pPr>
        <w:tabs>
          <w:tab w:val="left" w:pos="1134"/>
        </w:tabs>
        <w:spacing w:line="276" w:lineRule="auto"/>
        <w:ind w:firstLine="709"/>
      </w:pPr>
      <w:r>
        <w:t>Подготовлен совместный 4-сторонний приказ Департамента образования и науки автономного округа, Депа</w:t>
      </w:r>
      <w:r>
        <w:t xml:space="preserve">ртамента здравоохранения автономного округа, Департамента физической культуры автономного округа, Департамента культуры автономного округа от 11.09.2024 </w:t>
      </w:r>
      <w:r>
        <w:br/>
        <w:t>№ 10-П-1853/1277/287/09-ОД-184/01-09 «О проведении в 2024/2025 учебном году социально-психологического</w:t>
      </w:r>
      <w:r>
        <w:t xml:space="preserve"> тестирования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Ханты-Мансийского автономного округа – Югры, направленного на раннее выявление немедици</w:t>
      </w:r>
      <w:r>
        <w:t xml:space="preserve">нского потребления наркотических средств и психотропных веществ, профилактических медицинских осмотров обучающихся и о признании утратившим силу приказа от 13.09.2023 </w:t>
      </w:r>
      <w:r>
        <w:br/>
        <w:t>№ 10-П-2275/1357/329/09-ОД-167/01-09».</w:t>
      </w:r>
    </w:p>
    <w:p w:rsidR="00DC1467" w:rsidRDefault="00B70D3E">
      <w:pPr>
        <w:tabs>
          <w:tab w:val="left" w:pos="1134"/>
        </w:tabs>
        <w:spacing w:line="276" w:lineRule="auto"/>
        <w:ind w:firstLine="709"/>
      </w:pPr>
      <w:r>
        <w:t>Кроме того, с целью определения при допризывной п</w:t>
      </w:r>
      <w:r>
        <w:t xml:space="preserve">роверке на военную службу наличия психоактивных веществ: </w:t>
      </w:r>
    </w:p>
    <w:p w:rsidR="00DC1467" w:rsidRDefault="00B70D3E">
      <w:pPr>
        <w:tabs>
          <w:tab w:val="left" w:pos="1134"/>
        </w:tabs>
        <w:spacing w:line="276" w:lineRule="auto"/>
        <w:ind w:firstLine="709"/>
      </w:pPr>
      <w:r>
        <w:t xml:space="preserve">приказом Департамента здравоохранения автономного округа </w:t>
      </w:r>
      <w:r>
        <w:br/>
        <w:t xml:space="preserve">от 13.09.2024 № 1292 «О передаче наборов реагентов в Военный комиссариат ХМАО – Югры» осуществлена передача 10 упаковок </w:t>
      </w:r>
      <w:r>
        <w:t>иммунохроматографического экспресс-анализа для ВИЧ-1 и ВИЧ-2 антитела ИВД, в упаковке 25 шт.; 10 упаковок иммунохроматогрффического экспресс-анализа на вирус гепатита В антитела ИВД, в упаковке 25 шт.; 12 упаковок иммунохроматографического экспресс-анализа</w:t>
      </w:r>
      <w:r>
        <w:t xml:space="preserve"> на вирус гепатита С антитела ИВД, в упаковке 25 шт.;</w:t>
      </w:r>
    </w:p>
    <w:p w:rsidR="00DC1467" w:rsidRDefault="00B70D3E">
      <w:pPr>
        <w:tabs>
          <w:tab w:val="left" w:pos="1134"/>
        </w:tabs>
        <w:spacing w:line="276" w:lineRule="auto"/>
        <w:ind w:firstLine="709"/>
      </w:pPr>
      <w:r>
        <w:t xml:space="preserve">приказом Департамента здравоохранения автономного округа </w:t>
      </w:r>
      <w:r>
        <w:br/>
        <w:t xml:space="preserve">от 06.09.2024 № 1251 «О передаче наборов реагентов в Военный комиссариат ХМАО – Югры» осуществлена передача 10 наборов иммунохроматографических </w:t>
      </w:r>
      <w:r>
        <w:t xml:space="preserve">тест-систем для обнаружения антител к ВИЧ-1/ВИЧ-2, в наборе 30 шт.; 10 наборов иммунохроматографического экспресс-анализа на вирус гепатита В антитела ИВД, в наборе 25 шт.; 12 наборов иммунохроматографического экспресс-анализа на вирус гепатита С антитела </w:t>
      </w:r>
      <w:r>
        <w:t>ИВД, в наборе 25 шт.</w:t>
      </w:r>
    </w:p>
    <w:p w:rsidR="00DC1467" w:rsidRDefault="00B70D3E">
      <w:pPr>
        <w:tabs>
          <w:tab w:val="left" w:pos="1134"/>
        </w:tabs>
        <w:spacing w:line="276" w:lineRule="auto"/>
        <w:ind w:firstLine="709"/>
      </w:pPr>
      <w:r>
        <w:t xml:space="preserve">Во всех 5 окружных психоневрологических учреждениях автономного округа имеются химико-токсикологические лаборатории; медицинскими организациями, оказывающими медицинскую помощь по профилю «психиатрия-наркология», заключены договоры на </w:t>
      </w:r>
      <w:r>
        <w:t>оказание услуг на проведение подтверждающих ХТИ по зональному принципу.</w:t>
      </w:r>
    </w:p>
    <w:p w:rsidR="00DC1467" w:rsidRDefault="00B70D3E">
      <w:pPr>
        <w:tabs>
          <w:tab w:val="left" w:pos="1134"/>
        </w:tabs>
        <w:spacing w:line="276" w:lineRule="auto"/>
        <w:ind w:firstLine="709"/>
      </w:pPr>
      <w:r>
        <w:t>В автономном округе на конец 2024 года работают 62 врача психиатра-нарколога, в том числе в амбулаторно-поликлинических подразделениях 33 врача психиатра-нарколога.</w:t>
      </w:r>
    </w:p>
    <w:p w:rsidR="00DC1467" w:rsidRDefault="00B70D3E">
      <w:pPr>
        <w:tabs>
          <w:tab w:val="left" w:pos="1134"/>
        </w:tabs>
        <w:spacing w:line="276" w:lineRule="auto"/>
        <w:ind w:firstLine="709"/>
      </w:pPr>
      <w:r>
        <w:t>Для обслуживания де</w:t>
      </w:r>
      <w:r>
        <w:t xml:space="preserve">тско-подросткового населения функционируют </w:t>
      </w:r>
      <w:r>
        <w:br/>
        <w:t>6 подростковых наркологических кабинетов, в которых врачи психиатры-наркологи осуществляют раннее выявление потребителей наркотических средств и психотропных веществ.</w:t>
      </w:r>
    </w:p>
    <w:p w:rsidR="00DC1467" w:rsidRDefault="00B70D3E">
      <w:pPr>
        <w:tabs>
          <w:tab w:val="left" w:pos="1134"/>
        </w:tabs>
        <w:spacing w:line="276" w:lineRule="auto"/>
        <w:ind w:firstLine="709"/>
      </w:pPr>
      <w:r>
        <w:t>Таким образом:</w:t>
      </w:r>
    </w:p>
    <w:p w:rsidR="00DC1467" w:rsidRDefault="00B70D3E">
      <w:pPr>
        <w:numPr>
          <w:ilvl w:val="0"/>
          <w:numId w:val="8"/>
        </w:numPr>
        <w:tabs>
          <w:tab w:val="left" w:pos="1134"/>
        </w:tabs>
        <w:spacing w:line="276" w:lineRule="auto"/>
        <w:ind w:left="0" w:firstLine="709"/>
      </w:pPr>
      <w:r>
        <w:t>Проводятся медицинские осмотры</w:t>
      </w:r>
      <w:r>
        <w:t xml:space="preserve"> обучающихся в целях раннего выявления потребления наркотических средств и психотропных веществ, т.е. в рамках вторичной профилактики.</w:t>
      </w:r>
    </w:p>
    <w:p w:rsidR="00DC1467" w:rsidRDefault="00B70D3E">
      <w:pPr>
        <w:numPr>
          <w:ilvl w:val="0"/>
          <w:numId w:val="8"/>
        </w:numPr>
        <w:tabs>
          <w:tab w:val="left" w:pos="1134"/>
        </w:tabs>
        <w:spacing w:line="276" w:lineRule="auto"/>
        <w:ind w:left="0" w:firstLine="709"/>
      </w:pPr>
      <w:r>
        <w:t>Предварительные ХТИ проводятся с использованием методов иммуноферментного или иммунохимического анализа, исключающих визу</w:t>
      </w:r>
      <w:r>
        <w:t>альную оценку результатов.</w:t>
      </w:r>
    </w:p>
    <w:p w:rsidR="00DC1467" w:rsidRDefault="00B70D3E">
      <w:pPr>
        <w:numPr>
          <w:ilvl w:val="0"/>
          <w:numId w:val="8"/>
        </w:numPr>
        <w:tabs>
          <w:tab w:val="left" w:pos="1134"/>
        </w:tabs>
        <w:spacing w:line="276" w:lineRule="auto"/>
        <w:ind w:left="0" w:firstLine="709"/>
      </w:pPr>
      <w:r>
        <w:t>Департаментом здравоохранения автономного округа проведен ряд организационных мероприятий по развитию системы раннего выявления лиц, злоупотребляющих наркотиками и другими психоактивными веществами, работе с группами риска, внедр</w:t>
      </w:r>
      <w:r>
        <w:t>ению методов профилактического медицинского вмешательства.</w:t>
      </w:r>
    </w:p>
    <w:p w:rsidR="00DC1467" w:rsidRDefault="00B70D3E">
      <w:pPr>
        <w:widowControl w:val="0"/>
        <w:pBdr>
          <w:top w:val="single" w:sz="4" w:space="0" w:color="FFFFFF"/>
          <w:left w:val="single" w:sz="4" w:space="0" w:color="FFFFFF"/>
          <w:bottom w:val="single" w:sz="4" w:space="26" w:color="FFFFFF"/>
          <w:right w:val="single" w:sz="4" w:space="3" w:color="FFFFFF"/>
        </w:pBdr>
        <w:shd w:val="clear" w:color="FFFFFF" w:themeColor="background1" w:fill="FFFFFF" w:themeFill="background1"/>
        <w:spacing w:line="240" w:lineRule="auto"/>
        <w:ind w:firstLine="709"/>
        <w:rPr>
          <w:highlight w:val="white"/>
        </w:rPr>
      </w:pPr>
      <w:r>
        <w:rPr>
          <w:highlight w:val="white"/>
        </w:rPr>
        <w:t>Образовательными организациями совместно с представителями медицинских организаций, осуществляющих профилактические медицинские осмотры (ПМО), информационных собраний для обучающихся и их родителей</w:t>
      </w:r>
      <w:r>
        <w:rPr>
          <w:highlight w:val="white"/>
        </w:rPr>
        <w:t xml:space="preserve">, на которых разъясняются цели и порядок проведения ПМО, ведется разработка межведомственных планов мероприятий по организации ПМО обучающихся. </w:t>
      </w:r>
    </w:p>
    <w:p w:rsidR="00DC1467" w:rsidRDefault="00B70D3E">
      <w:pPr>
        <w:widowControl w:val="0"/>
        <w:pBdr>
          <w:top w:val="single" w:sz="4" w:space="0" w:color="FFFFFF"/>
          <w:left w:val="single" w:sz="4" w:space="0" w:color="FFFFFF"/>
          <w:bottom w:val="single" w:sz="4" w:space="26" w:color="FFFFFF"/>
          <w:right w:val="single" w:sz="4" w:space="3" w:color="FFFFFF"/>
        </w:pBdr>
        <w:shd w:val="clear" w:color="FFFFFF" w:themeColor="background1" w:fill="FFFFFF" w:themeFill="background1"/>
        <w:spacing w:line="240" w:lineRule="auto"/>
        <w:ind w:firstLine="709"/>
        <w:rPr>
          <w:highlight w:val="white"/>
        </w:rPr>
      </w:pPr>
      <w:r>
        <w:rPr>
          <w:highlight w:val="white"/>
        </w:rPr>
        <w:t>Организация и проведение непосредственной профилактической работы с обучающимися и их родителями по итогам пров</w:t>
      </w:r>
      <w:r>
        <w:rPr>
          <w:highlight w:val="white"/>
        </w:rPr>
        <w:t>едения СПТ продлится до 1 мая 2025 года.</w:t>
      </w:r>
    </w:p>
    <w:p w:rsidR="00DC1467" w:rsidRDefault="00B70D3E">
      <w:pPr>
        <w:widowControl w:val="0"/>
        <w:pBdr>
          <w:top w:val="single" w:sz="4" w:space="0" w:color="FFFFFF"/>
          <w:left w:val="single" w:sz="4" w:space="0" w:color="FFFFFF"/>
          <w:bottom w:val="single" w:sz="4" w:space="26" w:color="FFFFFF"/>
          <w:right w:val="single" w:sz="4" w:space="3" w:color="FFFFFF"/>
        </w:pBdr>
        <w:shd w:val="clear" w:color="FFFFFF" w:themeColor="background1" w:fill="FFFFFF" w:themeFill="background1"/>
        <w:spacing w:line="240" w:lineRule="auto"/>
        <w:ind w:firstLine="708"/>
        <w:rPr>
          <w:highlight w:val="white"/>
        </w:rPr>
      </w:pPr>
      <w:r>
        <w:rPr>
          <w:highlight w:val="white"/>
        </w:rPr>
        <w:t xml:space="preserve">Профилактическая работа в образовательных организациях включает в себя обязательное проведение таких мероприятий, как: </w:t>
      </w:r>
    </w:p>
    <w:p w:rsidR="00DC1467" w:rsidRDefault="00B70D3E">
      <w:pPr>
        <w:widowControl w:val="0"/>
        <w:pBdr>
          <w:top w:val="single" w:sz="4" w:space="0" w:color="FFFFFF"/>
          <w:left w:val="single" w:sz="4" w:space="0" w:color="FFFFFF"/>
          <w:bottom w:val="single" w:sz="4" w:space="26" w:color="FFFFFF"/>
          <w:right w:val="single" w:sz="4" w:space="3" w:color="FFFFFF"/>
        </w:pBdr>
        <w:shd w:val="clear" w:color="FFFFFF" w:themeColor="background1" w:fill="FFFFFF" w:themeFill="background1"/>
        <w:spacing w:line="240" w:lineRule="auto"/>
        <w:ind w:firstLine="708"/>
        <w:rPr>
          <w:highlight w:val="white"/>
        </w:rPr>
      </w:pPr>
      <w:r>
        <w:rPr>
          <w:highlight w:val="white"/>
        </w:rPr>
        <w:t>реализация программ обучения поведенческим стратегиям и стратегиям сопротивления групповому вли</w:t>
      </w:r>
      <w:r>
        <w:rPr>
          <w:highlight w:val="white"/>
        </w:rPr>
        <w:t>янию и манипуляциям (контраргументация, конструктивная критика, психологическая самооборона, конфронтация, уклонение);</w:t>
      </w:r>
    </w:p>
    <w:p w:rsidR="00DC1467" w:rsidRDefault="00B70D3E">
      <w:pPr>
        <w:widowControl w:val="0"/>
        <w:pBdr>
          <w:top w:val="single" w:sz="4" w:space="0" w:color="FFFFFF"/>
          <w:left w:val="single" w:sz="4" w:space="0" w:color="FFFFFF"/>
          <w:bottom w:val="single" w:sz="4" w:space="26" w:color="FFFFFF"/>
          <w:right w:val="single" w:sz="4" w:space="3" w:color="FFFFFF"/>
        </w:pBdr>
        <w:shd w:val="clear" w:color="FFFFFF" w:themeColor="background1" w:fill="FFFFFF" w:themeFill="background1"/>
        <w:spacing w:line="240" w:lineRule="auto"/>
        <w:ind w:firstLine="708"/>
        <w:rPr>
          <w:highlight w:val="white"/>
        </w:rPr>
      </w:pPr>
      <w:r>
        <w:rPr>
          <w:highlight w:val="white"/>
        </w:rPr>
        <w:t>реализация программ, направленных на формирование навыков и умений отказа в ситуациях риска, распознавания манипуляций и формирование способности противодействия им;</w:t>
      </w:r>
    </w:p>
    <w:p w:rsidR="00DC1467" w:rsidRDefault="00B70D3E">
      <w:pPr>
        <w:widowControl w:val="0"/>
        <w:pBdr>
          <w:top w:val="single" w:sz="4" w:space="0" w:color="FFFFFF"/>
          <w:left w:val="single" w:sz="4" w:space="0" w:color="FFFFFF"/>
          <w:bottom w:val="single" w:sz="4" w:space="26" w:color="FFFFFF"/>
          <w:right w:val="single" w:sz="4" w:space="3" w:color="FFFFFF"/>
        </w:pBdr>
        <w:shd w:val="clear" w:color="FFFFFF" w:themeColor="background1" w:fill="FFFFFF" w:themeFill="background1"/>
        <w:spacing w:line="240" w:lineRule="auto"/>
        <w:ind w:firstLine="708"/>
        <w:rPr>
          <w:highlight w:val="white"/>
        </w:rPr>
      </w:pPr>
      <w:r>
        <w:rPr>
          <w:highlight w:val="white"/>
        </w:rPr>
        <w:t xml:space="preserve">реализация программ, ориентированных на развитие конструктивных навыков общения, развитие </w:t>
      </w:r>
      <w:r>
        <w:rPr>
          <w:highlight w:val="white"/>
        </w:rPr>
        <w:t>критичности к себе и своему поведению</w:t>
      </w:r>
      <w:r>
        <w:rPr>
          <w:rStyle w:val="af1"/>
          <w:highlight w:val="white"/>
        </w:rPr>
        <w:footnoteReference w:id="40"/>
      </w:r>
      <w:r>
        <w:rPr>
          <w:highlight w:val="white"/>
        </w:rPr>
        <w:t>.</w:t>
      </w:r>
    </w:p>
    <w:p w:rsidR="00DC1467" w:rsidRDefault="00B70D3E">
      <w:pPr>
        <w:widowControl w:val="0"/>
        <w:pBdr>
          <w:top w:val="single" w:sz="4" w:space="0" w:color="FFFFFF"/>
          <w:left w:val="single" w:sz="4" w:space="0" w:color="FFFFFF"/>
          <w:bottom w:val="single" w:sz="4" w:space="26" w:color="FFFFFF"/>
          <w:right w:val="single" w:sz="4" w:space="3" w:color="FFFFFF"/>
        </w:pBdr>
        <w:shd w:val="clear" w:color="FFFFFF" w:themeColor="background1" w:fill="FFFFFF" w:themeFill="background1"/>
        <w:spacing w:line="240" w:lineRule="auto"/>
        <w:ind w:firstLine="709"/>
        <w:rPr>
          <w:highlight w:val="white"/>
        </w:rPr>
      </w:pPr>
      <w:r>
        <w:rPr>
          <w:highlight w:val="white"/>
        </w:rPr>
        <w:t>В образовательных организациях созданы необходимые условия по организации содержательной досуговой деятельности детей, направленной на минимизацию пространства для формирования девиантного поведения обучающихся, неза</w:t>
      </w:r>
      <w:r>
        <w:rPr>
          <w:highlight w:val="white"/>
        </w:rPr>
        <w:t>конного потребления наркотических средств и психотропных веществ.</w:t>
      </w:r>
    </w:p>
    <w:p w:rsidR="00DC1467" w:rsidRDefault="00B70D3E">
      <w:pPr>
        <w:widowControl w:val="0"/>
        <w:pBdr>
          <w:top w:val="single" w:sz="4" w:space="0" w:color="FFFFFF"/>
          <w:left w:val="single" w:sz="4" w:space="0" w:color="FFFFFF"/>
          <w:bottom w:val="single" w:sz="4" w:space="26" w:color="FFFFFF"/>
          <w:right w:val="single" w:sz="4" w:space="3" w:color="FFFFFF"/>
        </w:pBdr>
        <w:shd w:val="clear" w:color="FFFFFF" w:themeColor="background1" w:fill="FFFFFF" w:themeFill="background1"/>
        <w:spacing w:line="240" w:lineRule="auto"/>
        <w:ind w:firstLine="709"/>
        <w:rPr>
          <w:highlight w:val="white"/>
        </w:rPr>
      </w:pPr>
      <w:r>
        <w:rPr>
          <w:highlight w:val="white"/>
        </w:rPr>
        <w:t>На базе образовательных организаций открыто 416 первичных отделений «Движения первых», в деятельность которых вовлечено 32 160 детей, в том числе прибывших в автономный округ из новых субъек</w:t>
      </w:r>
      <w:r>
        <w:rPr>
          <w:highlight w:val="white"/>
        </w:rPr>
        <w:t>тов Российской Федерации.</w:t>
      </w:r>
    </w:p>
    <w:p w:rsidR="00DC1467" w:rsidRDefault="00B70D3E">
      <w:pPr>
        <w:widowControl w:val="0"/>
        <w:pBdr>
          <w:top w:val="single" w:sz="4" w:space="0" w:color="FFFFFF"/>
          <w:left w:val="single" w:sz="4" w:space="0" w:color="FFFFFF"/>
          <w:bottom w:val="single" w:sz="4" w:space="26" w:color="FFFFFF"/>
          <w:right w:val="single" w:sz="4" w:space="3" w:color="FFFFFF"/>
        </w:pBdr>
        <w:shd w:val="clear" w:color="FFFFFF" w:themeColor="background1" w:fill="FFFFFF" w:themeFill="background1"/>
        <w:spacing w:line="240" w:lineRule="auto"/>
        <w:ind w:firstLine="709"/>
        <w:rPr>
          <w:highlight w:val="white"/>
        </w:rPr>
      </w:pPr>
      <w:r>
        <w:rPr>
          <w:highlight w:val="white"/>
        </w:rPr>
        <w:t xml:space="preserve">Во всех муниципальных образованиях автономного округа созданы местные отделения Всероссийского детско-юношеского </w:t>
      </w:r>
      <w:r>
        <w:rPr>
          <w:highlight w:val="white"/>
        </w:rPr>
        <w:br/>
        <w:t xml:space="preserve">военно-патриотического общественного движения «ЮНАРМИЯ». </w:t>
      </w:r>
    </w:p>
    <w:p w:rsidR="00DC1467" w:rsidRDefault="00B70D3E">
      <w:pPr>
        <w:widowControl w:val="0"/>
        <w:pBdr>
          <w:top w:val="single" w:sz="4" w:space="0" w:color="FFFFFF"/>
          <w:left w:val="single" w:sz="4" w:space="0" w:color="FFFFFF"/>
          <w:bottom w:val="single" w:sz="4" w:space="26" w:color="FFFFFF"/>
          <w:right w:val="single" w:sz="4" w:space="3" w:color="FFFFFF"/>
        </w:pBdr>
        <w:shd w:val="clear" w:color="FFFFFF" w:themeColor="background1" w:fill="FFFFFF" w:themeFill="background1"/>
        <w:spacing w:line="240" w:lineRule="auto"/>
        <w:ind w:firstLine="709"/>
        <w:rPr>
          <w:highlight w:val="white"/>
        </w:rPr>
      </w:pPr>
      <w:r>
        <w:rPr>
          <w:highlight w:val="white"/>
        </w:rPr>
        <w:t>В 2024 году в движение «ЮНАРМИЯ» вовлечено 15 013 детей, в</w:t>
      </w:r>
      <w:r>
        <w:rPr>
          <w:highlight w:val="white"/>
        </w:rPr>
        <w:t xml:space="preserve"> том числе прибывших в автономный округ из новых субъектов Российской Федерации.</w:t>
      </w:r>
    </w:p>
    <w:p w:rsidR="00DC1467" w:rsidRDefault="00B70D3E">
      <w:pPr>
        <w:widowControl w:val="0"/>
        <w:pBdr>
          <w:top w:val="single" w:sz="4" w:space="0" w:color="FFFFFF"/>
          <w:left w:val="single" w:sz="4" w:space="0" w:color="FFFFFF"/>
          <w:bottom w:val="single" w:sz="4" w:space="26" w:color="FFFFFF"/>
          <w:right w:val="single" w:sz="4" w:space="3" w:color="FFFFFF"/>
        </w:pBdr>
        <w:shd w:val="clear" w:color="FFFFFF" w:themeColor="background1" w:fill="FFFFFF" w:themeFill="background1"/>
        <w:spacing w:line="240" w:lineRule="auto"/>
        <w:ind w:firstLine="709"/>
        <w:rPr>
          <w:highlight w:val="white"/>
        </w:rPr>
      </w:pPr>
      <w:r>
        <w:rPr>
          <w:highlight w:val="white"/>
        </w:rPr>
        <w:t>В целях профилактики наркомании и наркопреступности в подростковой и молодежной среде, повышения правовой грамотности и формирования здорового образа жизни органами внутренних</w:t>
      </w:r>
      <w:r>
        <w:rPr>
          <w:highlight w:val="white"/>
        </w:rPr>
        <w:t xml:space="preserve"> дел во взаимодействии с субъектами профилактики всех уровней в образовательных организациях автономного округа проведено в 2024 году более 5 тысяч мероприятий информационно-просветительского характера (беседы, брифинги, круглые столы и кинолектории).</w:t>
      </w:r>
    </w:p>
    <w:p w:rsidR="00DC1467" w:rsidRDefault="00B70D3E">
      <w:pPr>
        <w:widowControl w:val="0"/>
        <w:pBdr>
          <w:top w:val="single" w:sz="4" w:space="0" w:color="FFFFFF"/>
          <w:left w:val="single" w:sz="4" w:space="0" w:color="FFFFFF"/>
          <w:bottom w:val="single" w:sz="4" w:space="26" w:color="FFFFFF"/>
          <w:right w:val="single" w:sz="4" w:space="3" w:color="FFFFFF"/>
        </w:pBdr>
        <w:shd w:val="clear" w:color="FFFFFF" w:themeColor="background1" w:fill="FFFFFF" w:themeFill="background1"/>
        <w:spacing w:line="240" w:lineRule="auto"/>
        <w:ind w:firstLine="709"/>
        <w:rPr>
          <w:highlight w:val="white"/>
        </w:rPr>
      </w:pPr>
      <w:r>
        <w:rPr>
          <w:highlight w:val="white"/>
        </w:rPr>
        <w:t>Пост</w:t>
      </w:r>
      <w:r>
        <w:rPr>
          <w:highlight w:val="white"/>
        </w:rPr>
        <w:t>оянно ведется работа по размещению в сети интернет в группах мессенджеров и на сайтах образовательных организаций публикаций по вопросам антинаркотической пропаганды, направленных на повышение уровня осведомленности граждан, в первую очередь несовершенноле</w:t>
      </w:r>
      <w:r>
        <w:rPr>
          <w:highlight w:val="white"/>
        </w:rPr>
        <w:t>тних и их родителей (более 1000 публикаций).</w:t>
      </w:r>
    </w:p>
    <w:p w:rsidR="00DC1467" w:rsidRDefault="00B70D3E">
      <w:pPr>
        <w:widowControl w:val="0"/>
        <w:pBdr>
          <w:top w:val="single" w:sz="4" w:space="0" w:color="FFFFFF"/>
          <w:left w:val="single" w:sz="4" w:space="0" w:color="FFFFFF"/>
          <w:bottom w:val="single" w:sz="4" w:space="26" w:color="FFFFFF"/>
          <w:right w:val="single" w:sz="4" w:space="3" w:color="FFFFFF"/>
        </w:pBdr>
        <w:shd w:val="clear" w:color="FFFFFF" w:themeColor="background1" w:fill="FFFFFF" w:themeFill="background1"/>
        <w:spacing w:line="240" w:lineRule="auto"/>
        <w:ind w:firstLine="709"/>
      </w:pPr>
      <w:r>
        <w:rPr>
          <w:highlight w:val="white"/>
        </w:rPr>
        <w:t>Более 4000 листовок, памяток, буклетов по вопросам профилактики наркомании распространены в образовательных организациях автономного округа, 716 плакатов и баннеров размещены на стендах и зданиях организаций.</w:t>
      </w:r>
    </w:p>
    <w:p w:rsidR="00DC1467" w:rsidRDefault="00DC1467">
      <w:pPr>
        <w:numPr>
          <w:ilvl w:val="0"/>
          <w:numId w:val="8"/>
        </w:numPr>
        <w:tabs>
          <w:tab w:val="left" w:pos="1134"/>
        </w:tabs>
        <w:spacing w:line="276" w:lineRule="auto"/>
        <w:ind w:left="0" w:firstLine="709"/>
        <w:rPr>
          <w:highlight w:val="yellow"/>
        </w:rPr>
        <w:sectPr w:rsidR="00DC1467">
          <w:pgSz w:w="11906" w:h="16838"/>
          <w:pgMar w:top="1134" w:right="851" w:bottom="1134" w:left="1701" w:header="709" w:footer="709" w:gutter="0"/>
          <w:cols w:space="708"/>
          <w:docGrid w:linePitch="360"/>
        </w:sectPr>
      </w:pPr>
    </w:p>
    <w:p w:rsidR="00DC1467" w:rsidRDefault="00B70D3E">
      <w:pPr>
        <w:spacing w:line="276" w:lineRule="auto"/>
        <w:ind w:firstLine="709"/>
        <w:outlineLvl w:val="1"/>
        <w:rPr>
          <w:b/>
        </w:rPr>
      </w:pPr>
      <w:r>
        <w:rPr>
          <w:b/>
        </w:rPr>
        <w:t>5. Анализ, оценка и динамика ситуации в сфере противодействия незаконному обороту наркотиков</w:t>
      </w:r>
    </w:p>
    <w:p w:rsidR="00DC1467" w:rsidRDefault="00DC1467">
      <w:pPr>
        <w:spacing w:line="276" w:lineRule="auto"/>
        <w:ind w:firstLine="709"/>
        <w:rPr>
          <w:lang w:eastAsia="ar-SA"/>
        </w:rPr>
      </w:pPr>
    </w:p>
    <w:p w:rsidR="00DC1467" w:rsidRDefault="00B70D3E">
      <w:pPr>
        <w:pStyle w:val="ad"/>
        <w:numPr>
          <w:ilvl w:val="0"/>
          <w:numId w:val="17"/>
        </w:numPr>
        <w:spacing w:line="276" w:lineRule="auto"/>
        <w:ind w:left="0" w:firstLine="709"/>
        <w:rPr>
          <w:color w:val="000000" w:themeColor="text1"/>
        </w:rPr>
      </w:pPr>
      <w:r>
        <w:rPr>
          <w:lang w:eastAsia="ar-SA"/>
        </w:rPr>
        <w:t>Анализ оператив</w:t>
      </w:r>
      <w:r>
        <w:rPr>
          <w:lang w:eastAsia="ar-SA"/>
        </w:rPr>
        <w:t xml:space="preserve">ной обстановки на территории Ханты-Мансийского автономного округа – Югры по линии противодействия незаконному обороту наркотиков по итогам 2024 года свидетельствует о контроле за ситуацией в данной сфере со стороны правоохранительных органов. Вместе с тем </w:t>
      </w:r>
      <w:r>
        <w:t xml:space="preserve">наркомания и незаконный оборот наркотических средств и психотропных веществ продолжают оставаться одной из серьезных угроз безопасности и острой социальной проблемой для региона. </w:t>
      </w:r>
    </w:p>
    <w:p w:rsidR="00DC1467" w:rsidRDefault="00B70D3E">
      <w:pPr>
        <w:pStyle w:val="ad"/>
        <w:numPr>
          <w:ilvl w:val="0"/>
          <w:numId w:val="17"/>
        </w:numPr>
        <w:spacing w:line="276" w:lineRule="auto"/>
        <w:ind w:left="0" w:firstLine="709"/>
        <w:rPr>
          <w:lang w:eastAsia="ar-SA"/>
        </w:rPr>
      </w:pPr>
      <w:r>
        <w:rPr>
          <w:lang w:eastAsia="ar-SA"/>
        </w:rPr>
        <w:t>Как и прежде ключевыми факторами, влияющими на развитие наркоситуации в окру</w:t>
      </w:r>
      <w:r>
        <w:rPr>
          <w:lang w:eastAsia="ar-SA"/>
        </w:rPr>
        <w:t>ге, остаются: географическое положение, социально-экономическая и демографическая ситуация, развитая транспортная инфраструктура и миграционные процессы.</w:t>
      </w:r>
    </w:p>
    <w:p w:rsidR="00DC1467" w:rsidRDefault="00B70D3E">
      <w:pPr>
        <w:pStyle w:val="ad"/>
        <w:numPr>
          <w:ilvl w:val="0"/>
          <w:numId w:val="17"/>
        </w:numPr>
        <w:spacing w:line="276" w:lineRule="auto"/>
        <w:ind w:left="0" w:firstLine="709"/>
        <w:rPr>
          <w:lang w:eastAsia="ar-SA"/>
        </w:rPr>
      </w:pPr>
      <w:r>
        <w:t xml:space="preserve">На чёрном рынке автономного округа по-прежнему преобладают синтетические наркотики, незаконный оборот </w:t>
      </w:r>
      <w:r>
        <w:t xml:space="preserve">которых продолжает </w:t>
      </w:r>
      <w:r>
        <w:rPr>
          <w:lang w:eastAsia="ar-SA"/>
        </w:rPr>
        <w:t xml:space="preserve">представлять основную угрозу. </w:t>
      </w:r>
    </w:p>
    <w:p w:rsidR="00DC1467" w:rsidRDefault="00B70D3E">
      <w:pPr>
        <w:pStyle w:val="ad"/>
        <w:numPr>
          <w:ilvl w:val="0"/>
          <w:numId w:val="17"/>
        </w:numPr>
        <w:spacing w:line="276" w:lineRule="auto"/>
        <w:ind w:left="0" w:firstLine="709"/>
      </w:pPr>
      <w:r>
        <w:t>Среди всех изъятых подконтрольных веществ 223 кг 492 грамм (+18,1 %, АППГ – 189 кг 265 грамма) наибольшую долю составляют именно синтетические наркотики – 197 кг 021 грамм, или 88,2 % от общего количества и</w:t>
      </w:r>
      <w:r>
        <w:t xml:space="preserve">зъятых подконтрольных веществ (АППГ – 97 кг 365 грамм, или 51,4 %). </w:t>
      </w:r>
    </w:p>
    <w:p w:rsidR="00DC1467" w:rsidRDefault="00B70D3E">
      <w:pPr>
        <w:pStyle w:val="ad"/>
        <w:numPr>
          <w:ilvl w:val="0"/>
          <w:numId w:val="17"/>
        </w:numPr>
        <w:spacing w:line="276" w:lineRule="auto"/>
        <w:ind w:left="0" w:firstLine="709"/>
      </w:pPr>
      <w:r>
        <w:rPr>
          <w:highlight w:val="white"/>
        </w:rPr>
        <w:t xml:space="preserve">Значительно сократилась доля изъятых наркотиков опийной группы </w:t>
      </w:r>
      <w:r>
        <w:rPr>
          <w:color w:val="000000" w:themeColor="text1"/>
          <w:highlight w:val="white"/>
        </w:rPr>
        <w:t>на 32,8 %</w:t>
      </w:r>
      <w:r>
        <w:rPr>
          <w:highlight w:val="white"/>
        </w:rPr>
        <w:t xml:space="preserve"> и составила 0,3% или 606 грамм (АППГ – 62 кг 759 грамм, или 33,1 %)</w:t>
      </w:r>
      <w:r>
        <w:t>, а доля наркотиков каннабисной группы сократил</w:t>
      </w:r>
      <w:r>
        <w:t>ась на 5,3 % и составила 9,1 %, или 20 кг 359 грамм (п.г. – 27 кг 218 грамм, или 14,4 %).</w:t>
      </w:r>
    </w:p>
    <w:p w:rsidR="00DC1467" w:rsidRDefault="00B70D3E">
      <w:pPr>
        <w:pStyle w:val="ad"/>
        <w:numPr>
          <w:ilvl w:val="0"/>
          <w:numId w:val="17"/>
        </w:numPr>
        <w:spacing w:line="276" w:lineRule="auto"/>
        <w:ind w:left="0" w:firstLine="709"/>
      </w:pPr>
      <w:r>
        <w:t>Имеются факты изъятия из незаконного оборота героина, масса которого составила 413 грамм (снижение в 139 раз, АППГ – 57 кг 227 грамм), метадона 1 кг 482 грамма (увели</w:t>
      </w:r>
      <w:r>
        <w:t>чение на 7 %, АППГ – 1 кг 385 грамм), кокаина 66 грамм (увеличение в 22 раза; АППГ – 3 грамма). Также изъято 55 грамм психотропных веществ (снижение на 85,6 %, АППГ – 383 грамма), 5 кг 392 грамма сильнодействующих веществ (увеличение в 3,5 раза, АППГ – 1 к</w:t>
      </w:r>
      <w:r>
        <w:t>г 537 грамм).</w:t>
      </w:r>
    </w:p>
    <w:p w:rsidR="00DC1467" w:rsidRDefault="00B70D3E">
      <w:pPr>
        <w:pStyle w:val="ad"/>
        <w:numPr>
          <w:ilvl w:val="0"/>
          <w:numId w:val="17"/>
        </w:numPr>
        <w:spacing w:line="240" w:lineRule="auto"/>
        <w:ind w:left="0" w:firstLine="709"/>
        <w:rPr>
          <w:i/>
          <w:sz w:val="24"/>
          <w:szCs w:val="24"/>
        </w:rPr>
      </w:pPr>
      <w:r>
        <w:rPr>
          <w:i/>
          <w:sz w:val="24"/>
          <w:szCs w:val="24"/>
        </w:rPr>
        <w:t>Справочно: Наибольшую распространенность на территории округа имеют следующие наркотики:</w:t>
      </w:r>
    </w:p>
    <w:p w:rsidR="00DC1467" w:rsidRDefault="00B70D3E">
      <w:pPr>
        <w:pStyle w:val="ad"/>
        <w:numPr>
          <w:ilvl w:val="0"/>
          <w:numId w:val="17"/>
        </w:numPr>
        <w:spacing w:line="240" w:lineRule="auto"/>
        <w:ind w:left="0" w:firstLine="709"/>
        <w:rPr>
          <w:i/>
          <w:sz w:val="24"/>
          <w:szCs w:val="24"/>
        </w:rPr>
      </w:pPr>
      <w:r>
        <w:rPr>
          <w:i/>
          <w:sz w:val="24"/>
          <w:szCs w:val="24"/>
        </w:rPr>
        <w:t xml:space="preserve">амфетаминового ряда: аналоги N-метилэфедрона (α-PVP), мефедрон, реже MDMA (1272 изъятия); </w:t>
      </w:r>
    </w:p>
    <w:p w:rsidR="00DC1467" w:rsidRDefault="00B70D3E">
      <w:pPr>
        <w:pStyle w:val="ad"/>
        <w:numPr>
          <w:ilvl w:val="0"/>
          <w:numId w:val="17"/>
        </w:numPr>
        <w:spacing w:line="240" w:lineRule="auto"/>
        <w:ind w:left="0" w:firstLine="709"/>
        <w:rPr>
          <w:i/>
          <w:sz w:val="24"/>
          <w:szCs w:val="24"/>
        </w:rPr>
      </w:pPr>
      <w:r>
        <w:rPr>
          <w:i/>
          <w:sz w:val="24"/>
          <w:szCs w:val="24"/>
        </w:rPr>
        <w:t>синтетические аналоги ТГК (6 изъятий);</w:t>
      </w:r>
    </w:p>
    <w:p w:rsidR="00DC1467" w:rsidRDefault="00B70D3E">
      <w:pPr>
        <w:pStyle w:val="ad"/>
        <w:numPr>
          <w:ilvl w:val="0"/>
          <w:numId w:val="17"/>
        </w:numPr>
        <w:spacing w:line="240" w:lineRule="auto"/>
        <w:ind w:left="0" w:firstLine="709"/>
        <w:rPr>
          <w:i/>
          <w:sz w:val="24"/>
          <w:szCs w:val="24"/>
        </w:rPr>
      </w:pPr>
      <w:r>
        <w:rPr>
          <w:i/>
          <w:sz w:val="24"/>
          <w:szCs w:val="24"/>
        </w:rPr>
        <w:t>каннабисного</w:t>
      </w:r>
      <w:r>
        <w:rPr>
          <w:i/>
          <w:sz w:val="24"/>
          <w:szCs w:val="24"/>
        </w:rPr>
        <w:t xml:space="preserve"> ряда: марихуана, гашиш, гашишное масло (322 изъятия);</w:t>
      </w:r>
    </w:p>
    <w:p w:rsidR="00DC1467" w:rsidRDefault="00B70D3E">
      <w:pPr>
        <w:pStyle w:val="ad"/>
        <w:numPr>
          <w:ilvl w:val="0"/>
          <w:numId w:val="17"/>
        </w:numPr>
        <w:spacing w:line="240" w:lineRule="auto"/>
        <w:ind w:left="0" w:firstLine="709"/>
        <w:rPr>
          <w:i/>
          <w:sz w:val="24"/>
          <w:szCs w:val="24"/>
        </w:rPr>
      </w:pPr>
      <w:r>
        <w:rPr>
          <w:i/>
          <w:sz w:val="24"/>
          <w:szCs w:val="24"/>
        </w:rPr>
        <w:t xml:space="preserve">опийной группы: героин, опий, дезоморфин (39 изъятий); </w:t>
      </w:r>
    </w:p>
    <w:p w:rsidR="00DC1467" w:rsidRDefault="00B70D3E">
      <w:pPr>
        <w:pStyle w:val="ad"/>
        <w:numPr>
          <w:ilvl w:val="0"/>
          <w:numId w:val="17"/>
        </w:numPr>
        <w:spacing w:line="240" w:lineRule="auto"/>
        <w:ind w:left="0" w:firstLine="709"/>
        <w:rPr>
          <w:i/>
          <w:sz w:val="24"/>
          <w:szCs w:val="24"/>
        </w:rPr>
      </w:pPr>
      <w:r>
        <w:rPr>
          <w:i/>
          <w:sz w:val="24"/>
          <w:szCs w:val="24"/>
        </w:rPr>
        <w:t>метадон (63 изъятия).</w:t>
      </w:r>
    </w:p>
    <w:p w:rsidR="00DC1467" w:rsidRDefault="00B70D3E">
      <w:pPr>
        <w:pStyle w:val="ad"/>
        <w:numPr>
          <w:ilvl w:val="0"/>
          <w:numId w:val="17"/>
        </w:numPr>
        <w:spacing w:line="240" w:lineRule="auto"/>
        <w:ind w:left="0" w:firstLine="709"/>
        <w:rPr>
          <w:i/>
          <w:sz w:val="24"/>
          <w:szCs w:val="24"/>
        </w:rPr>
      </w:pPr>
      <w:r>
        <w:rPr>
          <w:i/>
          <w:sz w:val="24"/>
          <w:szCs w:val="24"/>
        </w:rPr>
        <w:t xml:space="preserve">Помимо указанных наркотиков, имеются факты незаконного оборота психотропных веществ (4 изъятия), а также сильнодействующих </w:t>
      </w:r>
      <w:r>
        <w:rPr>
          <w:i/>
          <w:sz w:val="24"/>
          <w:szCs w:val="24"/>
        </w:rPr>
        <w:t>веществ (48 изъятий).</w:t>
      </w:r>
    </w:p>
    <w:p w:rsidR="00DC1467" w:rsidRDefault="00B70D3E">
      <w:pPr>
        <w:pStyle w:val="ad"/>
        <w:numPr>
          <w:ilvl w:val="0"/>
          <w:numId w:val="17"/>
        </w:numPr>
        <w:spacing w:line="276" w:lineRule="auto"/>
        <w:ind w:left="0" w:firstLine="709"/>
      </w:pPr>
      <w:r>
        <w:t>Значительное количество изымаемых на территории автономного округа наркотиков каннабисной группы (гашиш, марихуана), несмотря на отсутствие сырьевой базы, обусловлено продолжающимся активным сбытом данных наркотиков с использованием с</w:t>
      </w:r>
      <w:r>
        <w:t>ети Интернет через так называемые «Интернет-магазины».</w:t>
      </w:r>
    </w:p>
    <w:p w:rsidR="00DC1467" w:rsidRDefault="00B70D3E">
      <w:pPr>
        <w:pStyle w:val="ad"/>
        <w:numPr>
          <w:ilvl w:val="0"/>
          <w:numId w:val="17"/>
        </w:numPr>
        <w:spacing w:line="276" w:lineRule="auto"/>
        <w:ind w:left="0" w:firstLine="709"/>
      </w:pPr>
      <w:r>
        <w:t>Югра отнесена к местностям, приравненным к районам Крайнего Севера, где преобладают неблагоприятные природно-климатические условия (переувлажнение, низкие температуры, недостаточная освещенность, длите</w:t>
      </w:r>
      <w:r>
        <w:t>льные временные сроки весенне-летнего половодья и раннеосенние заморозки), которые являются естественной помехой свободному массовому произрастанию дикорастущих наркосодержащих растений и формированию их очагов, а также незаконному культивированию наркосод</w:t>
      </w:r>
      <w:r>
        <w:t>ержащих растений в условиях открытого грунта.</w:t>
      </w:r>
    </w:p>
    <w:p w:rsidR="00DC1467" w:rsidRDefault="00B70D3E">
      <w:pPr>
        <w:pStyle w:val="ad"/>
        <w:numPr>
          <w:ilvl w:val="0"/>
          <w:numId w:val="17"/>
        </w:numPr>
        <w:spacing w:line="276" w:lineRule="auto"/>
        <w:ind w:left="0" w:firstLine="709"/>
      </w:pPr>
      <w:r>
        <w:t>В этой связи выявление очагов дикого произрастания наркосодержащих растений носит эпизодический характер. В 2023-2024 годы очаги дикого произрастания наркосодержащих растений не выявлялись.</w:t>
      </w:r>
    </w:p>
    <w:p w:rsidR="00DC1467" w:rsidRDefault="00B70D3E">
      <w:pPr>
        <w:pStyle w:val="ad"/>
        <w:numPr>
          <w:ilvl w:val="0"/>
          <w:numId w:val="17"/>
        </w:numPr>
        <w:spacing w:line="276" w:lineRule="auto"/>
        <w:ind w:left="0" w:firstLine="709"/>
      </w:pPr>
      <w:r>
        <w:t>Факты незаконного ку</w:t>
      </w:r>
      <w:r>
        <w:t>льтивирования наркосодержащих растений в незначительных количествах, как правило, методом гидропоники из приобретённых с использованием сети Интернет семян конопли в помещениях с искусственно созданными для этих целей условиями (домах, гаражах, банях) такж</w:t>
      </w:r>
      <w:r>
        <w:t>е носят эпизодический характер, но при этом остаются одним из факторов, оказывающих хоть и незначительное, но при этом негативное влияние на развитие наркоситуации в регионе.</w:t>
      </w:r>
    </w:p>
    <w:p w:rsidR="00DC1467" w:rsidRDefault="00B70D3E">
      <w:pPr>
        <w:pStyle w:val="ad"/>
        <w:numPr>
          <w:ilvl w:val="0"/>
          <w:numId w:val="17"/>
        </w:numPr>
        <w:spacing w:line="276" w:lineRule="auto"/>
        <w:ind w:left="0" w:firstLine="709"/>
      </w:pPr>
      <w:r>
        <w:t>В 2024 году в рамках противодействия фактам незаконного культивирования наркосоде</w:t>
      </w:r>
      <w:r>
        <w:t>ржащих растений задокументировано 4 преступления, предусмотренных ст. 231 УК РФ (АППГ – 2), пресечено 3 административных правонарушения, предусмотренных ст. 10.5.1 КоАП РФ (АППГ – 13), уничтожено 5 незаконно выращенных посевов наркосодержащих растений (АПП</w:t>
      </w:r>
      <w:r>
        <w:t>Г – 5), общей площадью 9 м</w:t>
      </w:r>
      <w:r>
        <w:rPr>
          <w:vertAlign w:val="superscript"/>
        </w:rPr>
        <w:t>2</w:t>
      </w:r>
      <w:r>
        <w:t xml:space="preserve"> (АППГ – 46 м</w:t>
      </w:r>
      <w:r>
        <w:rPr>
          <w:vertAlign w:val="superscript"/>
        </w:rPr>
        <w:t>2</w:t>
      </w:r>
      <w:r>
        <w:t>).</w:t>
      </w:r>
    </w:p>
    <w:p w:rsidR="00DC1467" w:rsidRDefault="00B70D3E">
      <w:pPr>
        <w:pStyle w:val="ad"/>
        <w:numPr>
          <w:ilvl w:val="0"/>
          <w:numId w:val="17"/>
        </w:numPr>
        <w:spacing w:line="276" w:lineRule="auto"/>
        <w:ind w:left="0" w:firstLine="709"/>
      </w:pPr>
      <w:r>
        <w:t>Новые виды психоактивных веществ, не включенные в Перечень наркотических средств, психотропных веществ и их прекурсоров, подлежащих контролю в РФ, из незаконного оборота не изымались.</w:t>
      </w:r>
    </w:p>
    <w:p w:rsidR="00DC1467" w:rsidRDefault="00B70D3E">
      <w:pPr>
        <w:pStyle w:val="ad"/>
        <w:numPr>
          <w:ilvl w:val="0"/>
          <w:numId w:val="17"/>
        </w:numPr>
        <w:spacing w:line="276" w:lineRule="auto"/>
        <w:ind w:left="0" w:firstLine="709"/>
      </w:pPr>
      <w:r>
        <w:t>Средняя стоимость наркотичес</w:t>
      </w:r>
      <w:r>
        <w:t>ких веществ в городах автономного округа значительно разнится (см. табл. 5) и зависит от спроса, который в свою очередь определяется расположением населенного пункта, объемом партии, качеством, способом доставки наркотиков и даже временем реализации.</w:t>
      </w:r>
    </w:p>
    <w:p w:rsidR="00DC1467" w:rsidRDefault="00B70D3E">
      <w:pPr>
        <w:pStyle w:val="ad"/>
        <w:numPr>
          <w:ilvl w:val="0"/>
          <w:numId w:val="17"/>
        </w:numPr>
        <w:spacing w:line="276" w:lineRule="auto"/>
        <w:ind w:left="0" w:firstLine="709"/>
        <w:jc w:val="right"/>
      </w:pPr>
      <w:r>
        <w:rPr>
          <w:bCs/>
        </w:rPr>
        <w:t>Табли</w:t>
      </w:r>
      <w:r>
        <w:rPr>
          <w:bCs/>
        </w:rPr>
        <w:t>ца 5</w:t>
      </w:r>
    </w:p>
    <w:p w:rsidR="00DC1467" w:rsidRDefault="00B70D3E">
      <w:pPr>
        <w:pStyle w:val="ad"/>
        <w:numPr>
          <w:ilvl w:val="0"/>
          <w:numId w:val="17"/>
        </w:numPr>
        <w:spacing w:line="276" w:lineRule="auto"/>
        <w:ind w:left="0" w:firstLine="0"/>
        <w:jc w:val="center"/>
      </w:pPr>
      <w:r>
        <w:rPr>
          <w:bCs/>
        </w:rPr>
        <w:t xml:space="preserve">Средние цены на наркотические средства и психотропные вещества, находящиеся в незаконном обороте, устанавливаемые оптовыми </w:t>
      </w:r>
      <w:r>
        <w:rPr>
          <w:bCs/>
        </w:rPr>
        <w:br/>
        <w:t>и розничными распространителями</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2835"/>
        <w:gridCol w:w="2552"/>
      </w:tblGrid>
      <w:tr w:rsidR="00DC1467">
        <w:tc>
          <w:tcPr>
            <w:tcW w:w="3969" w:type="dxa"/>
            <w:vAlign w:val="center"/>
          </w:tcPr>
          <w:p w:rsidR="00DC1467" w:rsidRDefault="00B70D3E">
            <w:pPr>
              <w:pStyle w:val="ad"/>
              <w:numPr>
                <w:ilvl w:val="0"/>
                <w:numId w:val="17"/>
              </w:numPr>
              <w:spacing w:line="240" w:lineRule="auto"/>
              <w:ind w:left="0" w:firstLine="0"/>
              <w:jc w:val="center"/>
              <w:rPr>
                <w:rFonts w:ascii="PT Astra Serif" w:hAnsi="PT Astra Serif"/>
                <w:b/>
                <w:sz w:val="24"/>
                <w:szCs w:val="24"/>
              </w:rPr>
            </w:pPr>
            <w:r>
              <w:rPr>
                <w:rFonts w:ascii="PT Astra Serif" w:hAnsi="PT Astra Serif"/>
                <w:b/>
                <w:sz w:val="24"/>
                <w:szCs w:val="24"/>
              </w:rPr>
              <w:t>Вид наркотического средства</w:t>
            </w:r>
          </w:p>
        </w:tc>
        <w:tc>
          <w:tcPr>
            <w:tcW w:w="2835" w:type="dxa"/>
            <w:vAlign w:val="center"/>
          </w:tcPr>
          <w:p w:rsidR="00DC1467" w:rsidRDefault="00B70D3E">
            <w:pPr>
              <w:spacing w:line="240" w:lineRule="auto"/>
              <w:ind w:firstLine="0"/>
              <w:jc w:val="center"/>
              <w:rPr>
                <w:rFonts w:ascii="PT Astra Serif" w:hAnsi="PT Astra Serif"/>
                <w:b/>
                <w:sz w:val="24"/>
                <w:szCs w:val="24"/>
              </w:rPr>
            </w:pPr>
            <w:r>
              <w:rPr>
                <w:rFonts w:ascii="PT Astra Serif" w:hAnsi="PT Astra Serif"/>
                <w:b/>
                <w:sz w:val="24"/>
                <w:szCs w:val="24"/>
              </w:rPr>
              <w:t>Цена</w:t>
            </w:r>
          </w:p>
          <w:p w:rsidR="00DC1467" w:rsidRDefault="00B70D3E">
            <w:pPr>
              <w:spacing w:line="240" w:lineRule="auto"/>
              <w:ind w:firstLine="0"/>
              <w:jc w:val="center"/>
              <w:rPr>
                <w:rFonts w:ascii="PT Astra Serif" w:hAnsi="PT Astra Serif"/>
                <w:b/>
                <w:sz w:val="24"/>
                <w:szCs w:val="24"/>
              </w:rPr>
            </w:pPr>
            <w:r>
              <w:rPr>
                <w:rFonts w:ascii="PT Astra Serif" w:hAnsi="PT Astra Serif"/>
                <w:b/>
                <w:sz w:val="24"/>
                <w:szCs w:val="24"/>
              </w:rPr>
              <w:t>за 1 грамм (руб.)</w:t>
            </w:r>
          </w:p>
        </w:tc>
        <w:tc>
          <w:tcPr>
            <w:tcW w:w="2552" w:type="dxa"/>
            <w:vAlign w:val="center"/>
          </w:tcPr>
          <w:p w:rsidR="00DC1467" w:rsidRDefault="00B70D3E">
            <w:pPr>
              <w:spacing w:line="240" w:lineRule="auto"/>
              <w:ind w:firstLine="0"/>
              <w:jc w:val="center"/>
              <w:rPr>
                <w:rFonts w:ascii="PT Astra Serif" w:hAnsi="PT Astra Serif"/>
                <w:b/>
                <w:sz w:val="24"/>
                <w:szCs w:val="24"/>
              </w:rPr>
            </w:pPr>
            <w:r>
              <w:rPr>
                <w:rFonts w:ascii="PT Astra Serif" w:hAnsi="PT Astra Serif"/>
                <w:b/>
                <w:sz w:val="24"/>
                <w:szCs w:val="24"/>
              </w:rPr>
              <w:t xml:space="preserve">Цена </w:t>
            </w:r>
          </w:p>
          <w:p w:rsidR="00DC1467" w:rsidRDefault="00B70D3E">
            <w:pPr>
              <w:spacing w:line="240" w:lineRule="auto"/>
              <w:ind w:firstLine="0"/>
              <w:jc w:val="center"/>
              <w:rPr>
                <w:rFonts w:ascii="PT Astra Serif" w:hAnsi="PT Astra Serif"/>
                <w:b/>
                <w:sz w:val="24"/>
                <w:szCs w:val="24"/>
              </w:rPr>
            </w:pPr>
            <w:r>
              <w:rPr>
                <w:rFonts w:ascii="PT Astra Serif" w:hAnsi="PT Astra Serif"/>
                <w:b/>
                <w:sz w:val="24"/>
                <w:szCs w:val="24"/>
              </w:rPr>
              <w:t>за 100 грамм (руб.)</w:t>
            </w:r>
          </w:p>
        </w:tc>
      </w:tr>
      <w:tr w:rsidR="00DC1467">
        <w:tc>
          <w:tcPr>
            <w:tcW w:w="3969" w:type="dxa"/>
          </w:tcPr>
          <w:p w:rsidR="00DC1467" w:rsidRDefault="00B70D3E">
            <w:pPr>
              <w:spacing w:line="240" w:lineRule="auto"/>
              <w:ind w:firstLine="0"/>
              <w:jc w:val="center"/>
              <w:rPr>
                <w:rFonts w:ascii="PT Astra Serif" w:hAnsi="PT Astra Serif"/>
                <w:sz w:val="24"/>
                <w:szCs w:val="24"/>
              </w:rPr>
            </w:pPr>
            <w:r>
              <w:rPr>
                <w:rFonts w:ascii="PT Astra Serif" w:hAnsi="PT Astra Serif"/>
                <w:sz w:val="24"/>
                <w:szCs w:val="24"/>
              </w:rPr>
              <w:t>Каннабис</w:t>
            </w:r>
            <w:r>
              <w:rPr>
                <w:rFonts w:ascii="PT Astra Serif" w:hAnsi="PT Astra Serif"/>
                <w:sz w:val="24"/>
                <w:szCs w:val="24"/>
              </w:rPr>
              <w:t xml:space="preserve"> (марихуана)</w:t>
            </w:r>
          </w:p>
        </w:tc>
        <w:tc>
          <w:tcPr>
            <w:tcW w:w="2835" w:type="dxa"/>
          </w:tcPr>
          <w:p w:rsidR="00DC1467" w:rsidRDefault="00B70D3E">
            <w:pPr>
              <w:spacing w:line="240" w:lineRule="auto"/>
              <w:ind w:firstLine="0"/>
              <w:jc w:val="center"/>
              <w:rPr>
                <w:rFonts w:ascii="PT Astra Serif" w:hAnsi="PT Astra Serif"/>
                <w:sz w:val="24"/>
                <w:szCs w:val="24"/>
              </w:rPr>
            </w:pPr>
            <w:r>
              <w:rPr>
                <w:rFonts w:ascii="PT Astra Serif" w:hAnsi="PT Astra Serif"/>
                <w:sz w:val="24"/>
                <w:szCs w:val="24"/>
              </w:rPr>
              <w:t>3500-4500</w:t>
            </w:r>
          </w:p>
        </w:tc>
        <w:tc>
          <w:tcPr>
            <w:tcW w:w="2552" w:type="dxa"/>
          </w:tcPr>
          <w:p w:rsidR="00DC1467" w:rsidRDefault="00B70D3E">
            <w:pPr>
              <w:spacing w:line="240" w:lineRule="auto"/>
              <w:ind w:firstLine="0"/>
              <w:jc w:val="center"/>
              <w:rPr>
                <w:rFonts w:ascii="PT Astra Serif" w:hAnsi="PT Astra Serif"/>
                <w:sz w:val="24"/>
                <w:szCs w:val="24"/>
              </w:rPr>
            </w:pPr>
            <w:r>
              <w:rPr>
                <w:rFonts w:ascii="PT Astra Serif" w:hAnsi="PT Astra Serif"/>
                <w:sz w:val="24"/>
                <w:szCs w:val="24"/>
              </w:rPr>
              <w:t>130 000</w:t>
            </w:r>
          </w:p>
        </w:tc>
      </w:tr>
      <w:tr w:rsidR="00DC1467">
        <w:tc>
          <w:tcPr>
            <w:tcW w:w="3969" w:type="dxa"/>
          </w:tcPr>
          <w:p w:rsidR="00DC1467" w:rsidRDefault="00B70D3E">
            <w:pPr>
              <w:spacing w:line="240" w:lineRule="auto"/>
              <w:ind w:firstLine="0"/>
              <w:jc w:val="center"/>
              <w:rPr>
                <w:rFonts w:ascii="PT Astra Serif" w:hAnsi="PT Astra Serif"/>
                <w:sz w:val="24"/>
                <w:szCs w:val="24"/>
              </w:rPr>
            </w:pPr>
            <w:r>
              <w:rPr>
                <w:rFonts w:ascii="PT Astra Serif" w:hAnsi="PT Astra Serif"/>
                <w:sz w:val="24"/>
                <w:szCs w:val="24"/>
              </w:rPr>
              <w:t>Гашиш</w:t>
            </w:r>
          </w:p>
        </w:tc>
        <w:tc>
          <w:tcPr>
            <w:tcW w:w="2835" w:type="dxa"/>
          </w:tcPr>
          <w:p w:rsidR="00DC1467" w:rsidRDefault="00B70D3E">
            <w:pPr>
              <w:spacing w:line="240" w:lineRule="auto"/>
              <w:ind w:firstLine="0"/>
              <w:jc w:val="center"/>
              <w:rPr>
                <w:rFonts w:ascii="PT Astra Serif" w:hAnsi="PT Astra Serif"/>
                <w:sz w:val="24"/>
                <w:szCs w:val="24"/>
              </w:rPr>
            </w:pPr>
            <w:r>
              <w:rPr>
                <w:rFonts w:ascii="PT Astra Serif" w:hAnsi="PT Astra Serif"/>
                <w:sz w:val="24"/>
                <w:szCs w:val="24"/>
              </w:rPr>
              <w:t>3000-4000</w:t>
            </w:r>
          </w:p>
        </w:tc>
        <w:tc>
          <w:tcPr>
            <w:tcW w:w="2552" w:type="dxa"/>
          </w:tcPr>
          <w:p w:rsidR="00DC1467" w:rsidRDefault="00B70D3E">
            <w:pPr>
              <w:spacing w:line="240" w:lineRule="auto"/>
              <w:ind w:firstLine="0"/>
              <w:jc w:val="center"/>
              <w:rPr>
                <w:rFonts w:ascii="PT Astra Serif" w:hAnsi="PT Astra Serif"/>
                <w:sz w:val="24"/>
                <w:szCs w:val="24"/>
              </w:rPr>
            </w:pPr>
            <w:r>
              <w:rPr>
                <w:rFonts w:ascii="PT Astra Serif" w:hAnsi="PT Astra Serif"/>
                <w:sz w:val="24"/>
                <w:szCs w:val="24"/>
              </w:rPr>
              <w:t>150 000</w:t>
            </w:r>
          </w:p>
        </w:tc>
      </w:tr>
      <w:tr w:rsidR="00DC1467">
        <w:tc>
          <w:tcPr>
            <w:tcW w:w="3969" w:type="dxa"/>
          </w:tcPr>
          <w:p w:rsidR="00DC1467" w:rsidRDefault="00B70D3E">
            <w:pPr>
              <w:spacing w:line="240" w:lineRule="auto"/>
              <w:ind w:firstLine="0"/>
              <w:jc w:val="center"/>
              <w:rPr>
                <w:rFonts w:ascii="PT Astra Serif" w:hAnsi="PT Astra Serif"/>
                <w:sz w:val="24"/>
                <w:szCs w:val="24"/>
              </w:rPr>
            </w:pPr>
            <w:r>
              <w:rPr>
                <w:rFonts w:ascii="PT Astra Serif" w:hAnsi="PT Astra Serif"/>
                <w:sz w:val="24"/>
                <w:szCs w:val="24"/>
              </w:rPr>
              <w:t>Гашишное масло</w:t>
            </w:r>
          </w:p>
        </w:tc>
        <w:tc>
          <w:tcPr>
            <w:tcW w:w="2835" w:type="dxa"/>
          </w:tcPr>
          <w:p w:rsidR="00DC1467" w:rsidRDefault="00B70D3E">
            <w:pPr>
              <w:spacing w:line="240" w:lineRule="auto"/>
              <w:ind w:firstLine="0"/>
              <w:jc w:val="center"/>
              <w:rPr>
                <w:rFonts w:ascii="PT Astra Serif" w:hAnsi="PT Astra Serif"/>
                <w:sz w:val="24"/>
                <w:szCs w:val="24"/>
              </w:rPr>
            </w:pPr>
            <w:r>
              <w:rPr>
                <w:rFonts w:ascii="PT Astra Serif" w:hAnsi="PT Astra Serif"/>
                <w:sz w:val="24"/>
                <w:szCs w:val="24"/>
              </w:rPr>
              <w:t>н/у</w:t>
            </w:r>
          </w:p>
        </w:tc>
        <w:tc>
          <w:tcPr>
            <w:tcW w:w="2552" w:type="dxa"/>
          </w:tcPr>
          <w:p w:rsidR="00DC1467" w:rsidRDefault="00B70D3E">
            <w:pPr>
              <w:spacing w:line="240" w:lineRule="auto"/>
              <w:ind w:firstLine="0"/>
              <w:jc w:val="center"/>
              <w:rPr>
                <w:rFonts w:ascii="PT Astra Serif" w:hAnsi="PT Astra Serif"/>
                <w:sz w:val="24"/>
                <w:szCs w:val="24"/>
              </w:rPr>
            </w:pPr>
            <w:r>
              <w:rPr>
                <w:rFonts w:ascii="PT Astra Serif" w:hAnsi="PT Astra Serif"/>
                <w:sz w:val="24"/>
                <w:szCs w:val="24"/>
              </w:rPr>
              <w:t>н/у</w:t>
            </w:r>
          </w:p>
        </w:tc>
      </w:tr>
      <w:tr w:rsidR="00DC1467">
        <w:tc>
          <w:tcPr>
            <w:tcW w:w="3969" w:type="dxa"/>
          </w:tcPr>
          <w:p w:rsidR="00DC1467" w:rsidRDefault="00B70D3E">
            <w:pPr>
              <w:spacing w:line="240" w:lineRule="auto"/>
              <w:ind w:firstLine="0"/>
              <w:jc w:val="center"/>
              <w:rPr>
                <w:rFonts w:ascii="PT Astra Serif" w:hAnsi="PT Astra Serif"/>
                <w:sz w:val="24"/>
                <w:szCs w:val="24"/>
              </w:rPr>
            </w:pPr>
            <w:r>
              <w:rPr>
                <w:rFonts w:ascii="PT Astra Serif" w:hAnsi="PT Astra Serif"/>
                <w:sz w:val="24"/>
                <w:szCs w:val="24"/>
              </w:rPr>
              <w:t>Ацетилированный опий</w:t>
            </w:r>
          </w:p>
        </w:tc>
        <w:tc>
          <w:tcPr>
            <w:tcW w:w="2835" w:type="dxa"/>
          </w:tcPr>
          <w:p w:rsidR="00DC1467" w:rsidRDefault="00B70D3E">
            <w:pPr>
              <w:spacing w:line="240" w:lineRule="auto"/>
              <w:ind w:firstLine="0"/>
              <w:jc w:val="center"/>
              <w:rPr>
                <w:rFonts w:ascii="PT Astra Serif" w:hAnsi="PT Astra Serif"/>
                <w:sz w:val="24"/>
                <w:szCs w:val="24"/>
              </w:rPr>
            </w:pPr>
            <w:r>
              <w:rPr>
                <w:rFonts w:ascii="PT Astra Serif" w:hAnsi="PT Astra Serif"/>
                <w:sz w:val="24"/>
                <w:szCs w:val="24"/>
              </w:rPr>
              <w:t>н/у</w:t>
            </w:r>
          </w:p>
        </w:tc>
        <w:tc>
          <w:tcPr>
            <w:tcW w:w="2552" w:type="dxa"/>
          </w:tcPr>
          <w:p w:rsidR="00DC1467" w:rsidRDefault="00B70D3E">
            <w:pPr>
              <w:spacing w:line="240" w:lineRule="auto"/>
              <w:ind w:firstLine="0"/>
              <w:jc w:val="center"/>
              <w:rPr>
                <w:rFonts w:ascii="PT Astra Serif" w:hAnsi="PT Astra Serif"/>
                <w:sz w:val="24"/>
                <w:szCs w:val="24"/>
              </w:rPr>
            </w:pPr>
            <w:r>
              <w:rPr>
                <w:rFonts w:ascii="PT Astra Serif" w:hAnsi="PT Astra Serif"/>
                <w:sz w:val="24"/>
                <w:szCs w:val="24"/>
              </w:rPr>
              <w:t>н/у</w:t>
            </w:r>
          </w:p>
        </w:tc>
      </w:tr>
      <w:tr w:rsidR="00DC1467">
        <w:tc>
          <w:tcPr>
            <w:tcW w:w="3969" w:type="dxa"/>
          </w:tcPr>
          <w:p w:rsidR="00DC1467" w:rsidRDefault="00B70D3E">
            <w:pPr>
              <w:spacing w:line="240" w:lineRule="auto"/>
              <w:ind w:firstLine="0"/>
              <w:jc w:val="center"/>
              <w:rPr>
                <w:rFonts w:ascii="PT Astra Serif" w:hAnsi="PT Astra Serif"/>
                <w:sz w:val="24"/>
                <w:szCs w:val="24"/>
              </w:rPr>
            </w:pPr>
            <w:r>
              <w:rPr>
                <w:rFonts w:ascii="PT Astra Serif" w:hAnsi="PT Astra Serif"/>
                <w:sz w:val="24"/>
                <w:szCs w:val="24"/>
              </w:rPr>
              <w:t>Героин</w:t>
            </w:r>
          </w:p>
        </w:tc>
        <w:tc>
          <w:tcPr>
            <w:tcW w:w="2835" w:type="dxa"/>
          </w:tcPr>
          <w:p w:rsidR="00DC1467" w:rsidRDefault="00B70D3E">
            <w:pPr>
              <w:spacing w:line="240" w:lineRule="auto"/>
              <w:ind w:firstLine="0"/>
              <w:jc w:val="center"/>
              <w:rPr>
                <w:rFonts w:ascii="PT Astra Serif" w:hAnsi="PT Astra Serif"/>
                <w:sz w:val="24"/>
                <w:szCs w:val="24"/>
              </w:rPr>
            </w:pPr>
            <w:r>
              <w:rPr>
                <w:rFonts w:ascii="PT Astra Serif" w:hAnsi="PT Astra Serif"/>
                <w:sz w:val="24"/>
                <w:szCs w:val="24"/>
              </w:rPr>
              <w:t>7000-9000</w:t>
            </w:r>
          </w:p>
        </w:tc>
        <w:tc>
          <w:tcPr>
            <w:tcW w:w="2552" w:type="dxa"/>
          </w:tcPr>
          <w:p w:rsidR="00DC1467" w:rsidRDefault="00B70D3E">
            <w:pPr>
              <w:spacing w:line="240" w:lineRule="auto"/>
              <w:ind w:firstLine="0"/>
              <w:jc w:val="center"/>
              <w:rPr>
                <w:rFonts w:ascii="PT Astra Serif" w:hAnsi="PT Astra Serif"/>
                <w:sz w:val="24"/>
                <w:szCs w:val="24"/>
              </w:rPr>
            </w:pPr>
            <w:r>
              <w:rPr>
                <w:rFonts w:ascii="PT Astra Serif" w:hAnsi="PT Astra Serif"/>
                <w:sz w:val="24"/>
                <w:szCs w:val="24"/>
              </w:rPr>
              <w:t>н/у</w:t>
            </w:r>
          </w:p>
        </w:tc>
      </w:tr>
      <w:tr w:rsidR="00DC1467">
        <w:tc>
          <w:tcPr>
            <w:tcW w:w="3969" w:type="dxa"/>
          </w:tcPr>
          <w:p w:rsidR="00DC1467" w:rsidRDefault="00B70D3E">
            <w:pPr>
              <w:spacing w:line="240" w:lineRule="auto"/>
              <w:ind w:firstLine="0"/>
              <w:jc w:val="center"/>
              <w:rPr>
                <w:rFonts w:ascii="PT Astra Serif" w:hAnsi="PT Astra Serif"/>
                <w:sz w:val="24"/>
                <w:szCs w:val="24"/>
              </w:rPr>
            </w:pPr>
            <w:r>
              <w:rPr>
                <w:rFonts w:ascii="PT Astra Serif" w:hAnsi="PT Astra Serif"/>
                <w:sz w:val="24"/>
                <w:szCs w:val="24"/>
              </w:rPr>
              <w:t>Кокаин</w:t>
            </w:r>
          </w:p>
        </w:tc>
        <w:tc>
          <w:tcPr>
            <w:tcW w:w="2835" w:type="dxa"/>
          </w:tcPr>
          <w:p w:rsidR="00DC1467" w:rsidRDefault="00B70D3E">
            <w:pPr>
              <w:spacing w:line="240" w:lineRule="auto"/>
              <w:ind w:firstLine="0"/>
              <w:jc w:val="center"/>
              <w:rPr>
                <w:rFonts w:ascii="PT Astra Serif" w:hAnsi="PT Astra Serif"/>
                <w:sz w:val="24"/>
                <w:szCs w:val="24"/>
              </w:rPr>
            </w:pPr>
            <w:r>
              <w:rPr>
                <w:rFonts w:ascii="PT Astra Serif" w:hAnsi="PT Astra Serif"/>
                <w:sz w:val="24"/>
                <w:szCs w:val="24"/>
              </w:rPr>
              <w:t>13 000 - 15 000</w:t>
            </w:r>
          </w:p>
        </w:tc>
        <w:tc>
          <w:tcPr>
            <w:tcW w:w="2552" w:type="dxa"/>
          </w:tcPr>
          <w:p w:rsidR="00DC1467" w:rsidRDefault="00B70D3E">
            <w:pPr>
              <w:spacing w:line="240" w:lineRule="auto"/>
              <w:ind w:firstLine="0"/>
              <w:jc w:val="center"/>
              <w:rPr>
                <w:rFonts w:ascii="PT Astra Serif" w:hAnsi="PT Astra Serif"/>
                <w:sz w:val="24"/>
                <w:szCs w:val="24"/>
              </w:rPr>
            </w:pPr>
            <w:r>
              <w:rPr>
                <w:rFonts w:ascii="PT Astra Serif" w:hAnsi="PT Astra Serif"/>
                <w:sz w:val="24"/>
                <w:szCs w:val="24"/>
              </w:rPr>
              <w:t>н/у</w:t>
            </w:r>
          </w:p>
        </w:tc>
      </w:tr>
      <w:tr w:rsidR="00DC1467">
        <w:tc>
          <w:tcPr>
            <w:tcW w:w="3969" w:type="dxa"/>
          </w:tcPr>
          <w:p w:rsidR="00DC1467" w:rsidRDefault="00B70D3E">
            <w:pPr>
              <w:spacing w:line="240" w:lineRule="auto"/>
              <w:ind w:firstLine="0"/>
              <w:jc w:val="center"/>
              <w:rPr>
                <w:rFonts w:ascii="PT Astra Serif" w:hAnsi="PT Astra Serif"/>
                <w:sz w:val="24"/>
                <w:szCs w:val="24"/>
              </w:rPr>
            </w:pPr>
            <w:r>
              <w:rPr>
                <w:rFonts w:ascii="PT Astra Serif" w:hAnsi="PT Astra Serif"/>
                <w:sz w:val="24"/>
                <w:szCs w:val="24"/>
              </w:rPr>
              <w:t>Карфентанил</w:t>
            </w:r>
          </w:p>
        </w:tc>
        <w:tc>
          <w:tcPr>
            <w:tcW w:w="2835" w:type="dxa"/>
          </w:tcPr>
          <w:p w:rsidR="00DC1467" w:rsidRDefault="00B70D3E">
            <w:pPr>
              <w:spacing w:line="240" w:lineRule="auto"/>
              <w:ind w:firstLine="0"/>
              <w:jc w:val="center"/>
              <w:rPr>
                <w:rFonts w:ascii="PT Astra Serif" w:hAnsi="PT Astra Serif"/>
                <w:sz w:val="24"/>
                <w:szCs w:val="24"/>
              </w:rPr>
            </w:pPr>
            <w:r>
              <w:rPr>
                <w:rFonts w:ascii="PT Astra Serif" w:hAnsi="PT Astra Serif"/>
                <w:sz w:val="24"/>
                <w:szCs w:val="24"/>
              </w:rPr>
              <w:t>н/у</w:t>
            </w:r>
          </w:p>
        </w:tc>
        <w:tc>
          <w:tcPr>
            <w:tcW w:w="2552" w:type="dxa"/>
          </w:tcPr>
          <w:p w:rsidR="00DC1467" w:rsidRDefault="00B70D3E">
            <w:pPr>
              <w:spacing w:line="240" w:lineRule="auto"/>
              <w:ind w:firstLine="0"/>
              <w:jc w:val="center"/>
              <w:rPr>
                <w:rFonts w:ascii="PT Astra Serif" w:hAnsi="PT Astra Serif"/>
                <w:sz w:val="24"/>
                <w:szCs w:val="24"/>
              </w:rPr>
            </w:pPr>
            <w:r>
              <w:rPr>
                <w:rFonts w:ascii="PT Astra Serif" w:hAnsi="PT Astra Serif"/>
                <w:sz w:val="24"/>
                <w:szCs w:val="24"/>
              </w:rPr>
              <w:t>н/у</w:t>
            </w:r>
          </w:p>
        </w:tc>
      </w:tr>
      <w:tr w:rsidR="00DC1467">
        <w:tc>
          <w:tcPr>
            <w:tcW w:w="3969" w:type="dxa"/>
          </w:tcPr>
          <w:p w:rsidR="00DC1467" w:rsidRDefault="00B70D3E">
            <w:pPr>
              <w:spacing w:line="240" w:lineRule="auto"/>
              <w:ind w:firstLine="0"/>
              <w:jc w:val="center"/>
              <w:rPr>
                <w:rFonts w:ascii="PT Astra Serif" w:hAnsi="PT Astra Serif"/>
                <w:sz w:val="24"/>
                <w:szCs w:val="24"/>
              </w:rPr>
            </w:pPr>
            <w:r>
              <w:rPr>
                <w:rFonts w:ascii="PT Astra Serif" w:hAnsi="PT Astra Serif"/>
                <w:sz w:val="24"/>
                <w:szCs w:val="24"/>
              </w:rPr>
              <w:t>N-метилэфедрон</w:t>
            </w:r>
          </w:p>
        </w:tc>
        <w:tc>
          <w:tcPr>
            <w:tcW w:w="2835" w:type="dxa"/>
          </w:tcPr>
          <w:p w:rsidR="00DC1467" w:rsidRDefault="00B70D3E">
            <w:pPr>
              <w:spacing w:line="240" w:lineRule="auto"/>
              <w:ind w:firstLine="0"/>
              <w:jc w:val="center"/>
              <w:rPr>
                <w:rFonts w:ascii="PT Astra Serif" w:hAnsi="PT Astra Serif"/>
                <w:sz w:val="24"/>
                <w:szCs w:val="24"/>
              </w:rPr>
            </w:pPr>
            <w:r>
              <w:rPr>
                <w:rFonts w:ascii="PT Astra Serif" w:hAnsi="PT Astra Serif"/>
                <w:sz w:val="24"/>
                <w:szCs w:val="24"/>
              </w:rPr>
              <w:t>3500-5800</w:t>
            </w:r>
          </w:p>
        </w:tc>
        <w:tc>
          <w:tcPr>
            <w:tcW w:w="2552" w:type="dxa"/>
          </w:tcPr>
          <w:p w:rsidR="00DC1467" w:rsidRDefault="00B70D3E">
            <w:pPr>
              <w:spacing w:line="240" w:lineRule="auto"/>
              <w:ind w:firstLine="0"/>
              <w:jc w:val="center"/>
              <w:rPr>
                <w:rFonts w:ascii="PT Astra Serif" w:hAnsi="PT Astra Serif"/>
                <w:sz w:val="24"/>
                <w:szCs w:val="24"/>
              </w:rPr>
            </w:pPr>
            <w:r>
              <w:rPr>
                <w:rFonts w:ascii="PT Astra Serif" w:hAnsi="PT Astra Serif"/>
                <w:sz w:val="24"/>
                <w:szCs w:val="24"/>
              </w:rPr>
              <w:t>150 000</w:t>
            </w:r>
          </w:p>
        </w:tc>
      </w:tr>
      <w:tr w:rsidR="00DC1467">
        <w:tc>
          <w:tcPr>
            <w:tcW w:w="3969" w:type="dxa"/>
          </w:tcPr>
          <w:p w:rsidR="00DC1467" w:rsidRDefault="00B70D3E">
            <w:pPr>
              <w:spacing w:line="240" w:lineRule="auto"/>
              <w:ind w:firstLine="0"/>
              <w:jc w:val="center"/>
              <w:rPr>
                <w:rFonts w:ascii="PT Astra Serif" w:hAnsi="PT Astra Serif"/>
                <w:sz w:val="24"/>
                <w:szCs w:val="24"/>
              </w:rPr>
            </w:pPr>
            <w:r>
              <w:rPr>
                <w:rFonts w:ascii="PT Astra Serif" w:hAnsi="PT Astra Serif"/>
                <w:sz w:val="24"/>
                <w:szCs w:val="24"/>
              </w:rPr>
              <w:t>Мефедрон</w:t>
            </w:r>
          </w:p>
        </w:tc>
        <w:tc>
          <w:tcPr>
            <w:tcW w:w="2835" w:type="dxa"/>
          </w:tcPr>
          <w:p w:rsidR="00DC1467" w:rsidRDefault="00B70D3E">
            <w:pPr>
              <w:spacing w:line="240" w:lineRule="auto"/>
              <w:ind w:firstLine="0"/>
              <w:jc w:val="center"/>
              <w:rPr>
                <w:rFonts w:ascii="PT Astra Serif" w:hAnsi="PT Astra Serif"/>
                <w:sz w:val="24"/>
                <w:szCs w:val="24"/>
              </w:rPr>
            </w:pPr>
            <w:r>
              <w:rPr>
                <w:rFonts w:ascii="PT Astra Serif" w:hAnsi="PT Astra Serif"/>
                <w:sz w:val="24"/>
                <w:szCs w:val="24"/>
              </w:rPr>
              <w:t>3000-4500</w:t>
            </w:r>
          </w:p>
        </w:tc>
        <w:tc>
          <w:tcPr>
            <w:tcW w:w="2552" w:type="dxa"/>
          </w:tcPr>
          <w:p w:rsidR="00DC1467" w:rsidRDefault="00B70D3E">
            <w:pPr>
              <w:spacing w:line="240" w:lineRule="auto"/>
              <w:ind w:firstLine="0"/>
              <w:jc w:val="center"/>
              <w:rPr>
                <w:rFonts w:ascii="PT Astra Serif" w:hAnsi="PT Astra Serif"/>
                <w:sz w:val="24"/>
                <w:szCs w:val="24"/>
              </w:rPr>
            </w:pPr>
            <w:r>
              <w:rPr>
                <w:rFonts w:ascii="PT Astra Serif" w:hAnsi="PT Astra Serif"/>
                <w:sz w:val="24"/>
                <w:szCs w:val="24"/>
              </w:rPr>
              <w:t>180 000</w:t>
            </w:r>
          </w:p>
        </w:tc>
      </w:tr>
      <w:tr w:rsidR="00DC1467">
        <w:tc>
          <w:tcPr>
            <w:tcW w:w="3969" w:type="dxa"/>
          </w:tcPr>
          <w:p w:rsidR="00DC1467" w:rsidRDefault="00B70D3E">
            <w:pPr>
              <w:spacing w:line="240" w:lineRule="auto"/>
              <w:ind w:firstLine="0"/>
              <w:jc w:val="center"/>
              <w:rPr>
                <w:rFonts w:ascii="PT Astra Serif" w:hAnsi="PT Astra Serif"/>
                <w:sz w:val="24"/>
                <w:szCs w:val="24"/>
              </w:rPr>
            </w:pPr>
            <w:r>
              <w:rPr>
                <w:rFonts w:ascii="PT Astra Serif" w:hAnsi="PT Astra Serif"/>
                <w:sz w:val="24"/>
                <w:szCs w:val="24"/>
              </w:rPr>
              <w:t>Метадон</w:t>
            </w:r>
          </w:p>
        </w:tc>
        <w:tc>
          <w:tcPr>
            <w:tcW w:w="2835" w:type="dxa"/>
          </w:tcPr>
          <w:p w:rsidR="00DC1467" w:rsidRDefault="00B70D3E">
            <w:pPr>
              <w:spacing w:line="240" w:lineRule="auto"/>
              <w:ind w:firstLine="0"/>
              <w:jc w:val="center"/>
              <w:rPr>
                <w:rFonts w:ascii="PT Astra Serif" w:hAnsi="PT Astra Serif"/>
                <w:sz w:val="24"/>
                <w:szCs w:val="24"/>
              </w:rPr>
            </w:pPr>
            <w:r>
              <w:rPr>
                <w:rFonts w:ascii="PT Astra Serif" w:hAnsi="PT Astra Serif"/>
                <w:sz w:val="24"/>
                <w:szCs w:val="24"/>
              </w:rPr>
              <w:t>8500-9000</w:t>
            </w:r>
          </w:p>
        </w:tc>
        <w:tc>
          <w:tcPr>
            <w:tcW w:w="2552" w:type="dxa"/>
          </w:tcPr>
          <w:p w:rsidR="00DC1467" w:rsidRDefault="00B70D3E">
            <w:pPr>
              <w:spacing w:line="240" w:lineRule="auto"/>
              <w:ind w:firstLine="0"/>
              <w:jc w:val="center"/>
              <w:rPr>
                <w:rFonts w:ascii="PT Astra Serif" w:hAnsi="PT Astra Serif"/>
                <w:sz w:val="24"/>
                <w:szCs w:val="24"/>
              </w:rPr>
            </w:pPr>
            <w:r>
              <w:rPr>
                <w:rFonts w:ascii="PT Astra Serif" w:hAnsi="PT Astra Serif"/>
                <w:sz w:val="24"/>
                <w:szCs w:val="24"/>
              </w:rPr>
              <w:t>н/у</w:t>
            </w:r>
          </w:p>
        </w:tc>
      </w:tr>
      <w:tr w:rsidR="00DC1467">
        <w:tc>
          <w:tcPr>
            <w:tcW w:w="3969" w:type="dxa"/>
          </w:tcPr>
          <w:p w:rsidR="00DC1467" w:rsidRDefault="00B70D3E">
            <w:pPr>
              <w:spacing w:line="240" w:lineRule="auto"/>
              <w:ind w:firstLine="0"/>
              <w:jc w:val="center"/>
              <w:rPr>
                <w:rFonts w:ascii="PT Astra Serif" w:hAnsi="PT Astra Serif"/>
                <w:sz w:val="24"/>
                <w:szCs w:val="24"/>
              </w:rPr>
            </w:pPr>
            <w:r>
              <w:rPr>
                <w:rFonts w:ascii="PT Astra Serif" w:hAnsi="PT Astra Serif"/>
                <w:sz w:val="24"/>
                <w:szCs w:val="24"/>
              </w:rPr>
              <w:t>Амфетамин</w:t>
            </w:r>
          </w:p>
        </w:tc>
        <w:tc>
          <w:tcPr>
            <w:tcW w:w="2835" w:type="dxa"/>
          </w:tcPr>
          <w:p w:rsidR="00DC1467" w:rsidRDefault="00B70D3E">
            <w:pPr>
              <w:spacing w:line="240" w:lineRule="auto"/>
              <w:ind w:firstLine="0"/>
              <w:jc w:val="center"/>
              <w:rPr>
                <w:rFonts w:ascii="PT Astra Serif" w:hAnsi="PT Astra Serif"/>
                <w:sz w:val="24"/>
                <w:szCs w:val="24"/>
              </w:rPr>
            </w:pPr>
            <w:r>
              <w:rPr>
                <w:rFonts w:ascii="PT Astra Serif" w:hAnsi="PT Astra Serif"/>
                <w:sz w:val="24"/>
                <w:szCs w:val="24"/>
              </w:rPr>
              <w:t>3800-4300</w:t>
            </w:r>
          </w:p>
        </w:tc>
        <w:tc>
          <w:tcPr>
            <w:tcW w:w="2552" w:type="dxa"/>
          </w:tcPr>
          <w:p w:rsidR="00DC1467" w:rsidRDefault="00B70D3E">
            <w:pPr>
              <w:spacing w:line="240" w:lineRule="auto"/>
              <w:ind w:firstLine="0"/>
              <w:jc w:val="center"/>
              <w:rPr>
                <w:rFonts w:ascii="PT Astra Serif" w:hAnsi="PT Astra Serif"/>
                <w:sz w:val="24"/>
                <w:szCs w:val="24"/>
              </w:rPr>
            </w:pPr>
            <w:r>
              <w:rPr>
                <w:rFonts w:ascii="PT Astra Serif" w:hAnsi="PT Astra Serif"/>
                <w:sz w:val="24"/>
                <w:szCs w:val="24"/>
              </w:rPr>
              <w:t>90 000</w:t>
            </w:r>
          </w:p>
        </w:tc>
      </w:tr>
    </w:tbl>
    <w:p w:rsidR="00DC1467" w:rsidRDefault="00DC1467">
      <w:pPr>
        <w:ind w:firstLine="851"/>
        <w:rPr>
          <w:rFonts w:ascii="PT Astra Serif" w:hAnsi="PT Astra Serif"/>
          <w:color w:val="FF0000"/>
          <w:sz w:val="6"/>
          <w:szCs w:val="6"/>
        </w:rPr>
      </w:pPr>
    </w:p>
    <w:p w:rsidR="00DC1467" w:rsidRDefault="00DC1467">
      <w:pPr>
        <w:spacing w:line="276" w:lineRule="auto"/>
        <w:ind w:firstLine="709"/>
        <w:rPr>
          <w:color w:val="FF0000"/>
        </w:rPr>
      </w:pPr>
    </w:p>
    <w:p w:rsidR="00DC1467" w:rsidRDefault="00B70D3E">
      <w:pPr>
        <w:spacing w:line="276" w:lineRule="auto"/>
        <w:ind w:firstLine="709"/>
        <w:rPr>
          <w:lang w:eastAsia="ar-SA"/>
        </w:rPr>
      </w:pPr>
      <w:r>
        <w:rPr>
          <w:lang w:eastAsia="ar-SA"/>
        </w:rPr>
        <w:t>На территории автономного округа по состоянию на 01.01.2025 расположено 244 юридических лица, осуществляющих деятельность, связанную с оборотом наркотических средств, психотропных веществ и их прекурсоров</w:t>
      </w:r>
      <w:r>
        <w:rPr>
          <w:lang w:eastAsia="ar-SA"/>
        </w:rPr>
        <w:t xml:space="preserve">, в том числе: </w:t>
      </w:r>
    </w:p>
    <w:p w:rsidR="00DC1467" w:rsidRDefault="00B70D3E">
      <w:pPr>
        <w:spacing w:line="276" w:lineRule="auto"/>
        <w:ind w:firstLine="709"/>
        <w:rPr>
          <w:lang w:eastAsia="ar-SA"/>
        </w:rPr>
      </w:pPr>
      <w:r>
        <w:rPr>
          <w:lang w:eastAsia="ar-SA"/>
        </w:rPr>
        <w:t>86 юридических лиц, осуществляющих деятельность, связанную с оборотом наркотических средств и психотропных веществ (ЛПУ – 65, аптечные предприятия – 21);</w:t>
      </w:r>
    </w:p>
    <w:p w:rsidR="00DC1467" w:rsidRDefault="00B70D3E">
      <w:pPr>
        <w:spacing w:line="276" w:lineRule="auto"/>
        <w:ind w:firstLine="709"/>
        <w:rPr>
          <w:lang w:eastAsia="ar-SA"/>
        </w:rPr>
      </w:pPr>
      <w:r>
        <w:rPr>
          <w:lang w:eastAsia="ar-SA"/>
        </w:rPr>
        <w:t xml:space="preserve">158 юридических лиц, осуществляющих деятельность, связанную с оборотом прекурсоров, в </w:t>
      </w:r>
      <w:r>
        <w:rPr>
          <w:lang w:eastAsia="ar-SA"/>
        </w:rPr>
        <w:t xml:space="preserve">том числе: таблица II списка IV – 32 и таблица III – 126 юридических лица. </w:t>
      </w:r>
    </w:p>
    <w:p w:rsidR="00DC1467" w:rsidRDefault="00B70D3E">
      <w:pPr>
        <w:spacing w:line="276" w:lineRule="auto"/>
        <w:ind w:firstLine="709"/>
        <w:rPr>
          <w:lang w:eastAsia="ar-SA"/>
        </w:rPr>
      </w:pPr>
      <w:r>
        <w:rPr>
          <w:lang w:eastAsia="ar-SA"/>
        </w:rPr>
        <w:t xml:space="preserve">Распределение наркотических и психотропных лекарственных препаратов на территории округа осуществляет «Аптечная база» (пгт. Белый Яр, Сургутский район). Производство наркотических </w:t>
      </w:r>
      <w:r>
        <w:rPr>
          <w:lang w:eastAsia="ar-SA"/>
        </w:rPr>
        <w:t>средств, психотропных веществ и их прекурсоров на территории округа отсутствует. В малых количествах прекурсоры имеются в аптечной сети, стоматологических клиниках, высших учебных заведениях (метилметакрилат (таблица II), серная, соляная и уксусная кислоты</w:t>
      </w:r>
      <w:r>
        <w:rPr>
          <w:lang w:eastAsia="ar-SA"/>
        </w:rPr>
        <w:t>, ацетон, толуол, перманганат калия и др.).  В более значительных объемах прекурсоры хранятся и используются на объектах нефтегазодобывающей промышленности, где применяются в технологических процессах добычи, хранения и транспортировки углеводородного сырь</w:t>
      </w:r>
      <w:r>
        <w:rPr>
          <w:lang w:eastAsia="ar-SA"/>
        </w:rPr>
        <w:t>я.</w:t>
      </w:r>
    </w:p>
    <w:p w:rsidR="00DC1467" w:rsidRDefault="00B70D3E">
      <w:pPr>
        <w:spacing w:line="276" w:lineRule="auto"/>
        <w:ind w:firstLine="709"/>
        <w:rPr>
          <w:lang w:eastAsia="ar-SA"/>
        </w:rPr>
      </w:pPr>
      <w:r>
        <w:rPr>
          <w:lang w:eastAsia="ar-SA"/>
        </w:rPr>
        <w:t>Юридических лиц и индивидуальных предпринимателей на территории округа, имеющих лицензии на осуществление деятельности, связанной с оборотом прекурсоров наркотических средств и психотропных веществ, внесенных в Таблицу I Списка IV Перечня не зарегистрир</w:t>
      </w:r>
      <w:r>
        <w:rPr>
          <w:lang w:eastAsia="ar-SA"/>
        </w:rPr>
        <w:t>овано.</w:t>
      </w:r>
    </w:p>
    <w:p w:rsidR="00DC1467" w:rsidRDefault="00B70D3E">
      <w:pPr>
        <w:spacing w:line="276" w:lineRule="auto"/>
        <w:ind w:firstLine="709"/>
        <w:rPr>
          <w:lang w:eastAsia="ar-SA"/>
        </w:rPr>
      </w:pPr>
      <w:r>
        <w:rPr>
          <w:lang w:eastAsia="ar-SA"/>
        </w:rPr>
        <w:t>Юридические лица, осуществляющие производство прекурсоров, а также объекты, имеющие производственную и лабораторную базу для изготовления наркотических средств и психотропных веществ, на территории Ханты-Мансийского автономного округа – Югры, отсутс</w:t>
      </w:r>
      <w:r>
        <w:rPr>
          <w:lang w:eastAsia="ar-SA"/>
        </w:rPr>
        <w:t>твуют.</w:t>
      </w:r>
    </w:p>
    <w:p w:rsidR="00DC1467" w:rsidRDefault="00B70D3E">
      <w:pPr>
        <w:spacing w:line="276" w:lineRule="auto"/>
        <w:ind w:firstLine="709"/>
      </w:pPr>
      <w:r>
        <w:t xml:space="preserve">Криминогенная обстановка по линии незаконного оборота наркотиков в Югре в 2024 году характеризуется ростом на 7,8 % количества зарегистрированных наркопреступлений (2708, АППГ – 2511), в том числе тяжких и особо тяжких преступлений 2284 (увеличение </w:t>
      </w:r>
      <w:r>
        <w:t>на 5,7 %, АППГ – 2160).</w:t>
      </w:r>
    </w:p>
    <w:p w:rsidR="00DC1467" w:rsidRDefault="00B70D3E">
      <w:pPr>
        <w:spacing w:line="240" w:lineRule="auto"/>
        <w:ind w:firstLine="709"/>
        <w:rPr>
          <w:i/>
          <w:sz w:val="24"/>
          <w:szCs w:val="24"/>
        </w:rPr>
      </w:pPr>
      <w:r>
        <w:rPr>
          <w:i/>
          <w:sz w:val="24"/>
          <w:szCs w:val="24"/>
        </w:rPr>
        <w:t xml:space="preserve">Справочно: </w:t>
      </w:r>
    </w:p>
    <w:p w:rsidR="00DC1467" w:rsidRDefault="00B70D3E">
      <w:pPr>
        <w:spacing w:line="240" w:lineRule="auto"/>
        <w:ind w:firstLine="709"/>
        <w:rPr>
          <w:i/>
          <w:sz w:val="24"/>
          <w:szCs w:val="24"/>
        </w:rPr>
      </w:pPr>
      <w:r>
        <w:rPr>
          <w:i/>
          <w:sz w:val="24"/>
          <w:szCs w:val="24"/>
        </w:rPr>
        <w:t xml:space="preserve">По России число зарегистрированных наркопреступлений увеличилось на 3,7 %, УрФО – увеличение на 2,1 %. </w:t>
      </w:r>
    </w:p>
    <w:p w:rsidR="00DC1467" w:rsidRDefault="00B70D3E">
      <w:pPr>
        <w:spacing w:line="240" w:lineRule="auto"/>
        <w:ind w:firstLine="709"/>
        <w:rPr>
          <w:i/>
          <w:sz w:val="24"/>
          <w:szCs w:val="24"/>
        </w:rPr>
      </w:pPr>
      <w:r>
        <w:rPr>
          <w:i/>
          <w:sz w:val="24"/>
          <w:szCs w:val="24"/>
        </w:rPr>
        <w:t>Регистрация тяжких и особо тяжких наркопреступлений по России увеличилось на 6 %, по УрФО – увеличение на 3,1 %.</w:t>
      </w:r>
    </w:p>
    <w:p w:rsidR="00DC1467" w:rsidRDefault="00B70D3E">
      <w:pPr>
        <w:pBdr>
          <w:bottom w:val="single" w:sz="4" w:space="0" w:color="FFFFFF"/>
        </w:pBdr>
        <w:spacing w:line="276" w:lineRule="auto"/>
        <w:ind w:firstLine="709"/>
      </w:pPr>
      <w:r>
        <w:t>Произошло снижение количества расследованных и направленных в суд уголовных дел, тем самым снижена эффективность работы по раскрытию наркопреступлений в целом. Окончено предварительное расследование по 1470 наркопреступлениям (снижение на 11,4 %, АППГ – 16</w:t>
      </w:r>
      <w:r>
        <w:t>59), в том числе категории тяжких и особо тяжких 1140 (снижение на 12 %, АППГ – 1296). При том, что количество приостановленных уголовных дел кратно возросло по сравнению с уровнем 2023 года и составило 1204 преступления (увеличение на 50,9 %, АППГ – 798),</w:t>
      </w:r>
      <w:r>
        <w:t xml:space="preserve"> в том числе категории тяжких и особо тяжких 1159 (+47,6 %, АППГ – 785). В связи со снижением количества расследованных преступлений, а также ростом приостановленных, снизилась и их общая раскрываемость, и составила 55 % (АППГ – 67,5 %), в том числе по тяж</w:t>
      </w:r>
      <w:r>
        <w:t>ким и особо тяжким составам преступлений составила 49,6 % (АППГ – 62,3 %).</w:t>
      </w:r>
    </w:p>
    <w:p w:rsidR="00DC1467" w:rsidRDefault="00B70D3E">
      <w:pPr>
        <w:spacing w:line="240" w:lineRule="auto"/>
        <w:ind w:firstLine="709"/>
        <w:rPr>
          <w:i/>
          <w:sz w:val="24"/>
          <w:szCs w:val="24"/>
        </w:rPr>
      </w:pPr>
      <w:r>
        <w:rPr>
          <w:i/>
          <w:sz w:val="24"/>
          <w:szCs w:val="24"/>
        </w:rPr>
        <w:t xml:space="preserve">Справочно: </w:t>
      </w:r>
    </w:p>
    <w:p w:rsidR="00DC1467" w:rsidRDefault="00B70D3E">
      <w:pPr>
        <w:spacing w:line="240" w:lineRule="auto"/>
        <w:ind w:firstLine="709"/>
        <w:rPr>
          <w:i/>
          <w:sz w:val="24"/>
          <w:szCs w:val="24"/>
        </w:rPr>
      </w:pPr>
      <w:r>
        <w:rPr>
          <w:i/>
          <w:sz w:val="24"/>
          <w:szCs w:val="24"/>
        </w:rPr>
        <w:t>По России число оконченных расследованием наркопреступлений сократилось на 1,5 %, раскрываемость составила 63,2 % (+0,5 %, 62,7 %);</w:t>
      </w:r>
    </w:p>
    <w:p w:rsidR="00DC1467" w:rsidRDefault="00B70D3E">
      <w:pPr>
        <w:spacing w:line="240" w:lineRule="auto"/>
        <w:ind w:firstLine="709"/>
        <w:rPr>
          <w:i/>
          <w:sz w:val="24"/>
          <w:szCs w:val="24"/>
        </w:rPr>
      </w:pPr>
      <w:r>
        <w:rPr>
          <w:i/>
          <w:sz w:val="24"/>
          <w:szCs w:val="24"/>
        </w:rPr>
        <w:t>По УрФО число оконченных расследовани</w:t>
      </w:r>
      <w:r>
        <w:rPr>
          <w:i/>
          <w:sz w:val="24"/>
          <w:szCs w:val="24"/>
        </w:rPr>
        <w:t>ем наркопреступлений уменьшилось на 0,5 %, раскрываемость составила 62,9 % (+0,8 %, 62,1 %).</w:t>
      </w:r>
    </w:p>
    <w:p w:rsidR="00DC1467" w:rsidRDefault="00B70D3E">
      <w:pPr>
        <w:spacing w:line="276" w:lineRule="auto"/>
        <w:ind w:firstLine="709"/>
      </w:pPr>
      <w:r>
        <w:t>Как и прежде основную массу регистрируемых преступлений по линии НОН составляют сбыты наркотических средств, которых выявлено 2039 (увеличение на 7,6 %, АППГ – 189</w:t>
      </w:r>
      <w:r>
        <w:t>5), или 75,3 % от общего количества зарегистрированных. Окончены предварительным расследованием 928 преступлений данной категории (снижение на 12,9 %, АППГ – 1065), при этом возросло количество приостановленных уголовных дел, связанных со сбытом на 48,9% (</w:t>
      </w:r>
      <w:r>
        <w:t>с 771 до 1148), тем самым допущено снижение удельного веса расследованных сбытов, который составил 44,7 % (снижение на 13,3 %, 58 %).</w:t>
      </w:r>
    </w:p>
    <w:p w:rsidR="00DC1467" w:rsidRDefault="00B70D3E">
      <w:pPr>
        <w:spacing w:line="276" w:lineRule="auto"/>
        <w:ind w:firstLine="709"/>
      </w:pPr>
      <w:r>
        <w:t>Основным способом распространения наркотиков на территории Югры остается бесконтактный, с использованием современных инфор</w:t>
      </w:r>
      <w:r>
        <w:t>мационных технологий, электронных платежных систем и криптовалют, которые являются преобладающим платежным инструментом и активно используются на различных этапах незаконного оборота наркотиков.</w:t>
      </w:r>
    </w:p>
    <w:p w:rsidR="00DC1467" w:rsidRDefault="00B70D3E">
      <w:pPr>
        <w:spacing w:line="276" w:lineRule="auto"/>
        <w:ind w:firstLine="709"/>
      </w:pPr>
      <w:r>
        <w:t>В 2024 году оперативная обстановка в сфере незаконного оборот</w:t>
      </w:r>
      <w:r>
        <w:t>а наркотиков в округе не претерпела существенных изменений. Основной площадкой сбыта остаётся мессенджер «Telegram», а также маркетплейсы, расположенные на площадках под названиями «OMG!OMG!», «BlackSprut», «Mega», «Кракен» и др. Основным способом сбыта ос</w:t>
      </w:r>
      <w:r>
        <w:t>тается «бесконтактный», посредством организации «тайников – закладок».</w:t>
      </w:r>
    </w:p>
    <w:p w:rsidR="00DC1467" w:rsidRDefault="00B70D3E">
      <w:pPr>
        <w:spacing w:line="276" w:lineRule="auto"/>
        <w:ind w:firstLine="709"/>
      </w:pPr>
      <w:r>
        <w:t>Интернет рассматривается не только как огромная рекламная и пропагандистская площадка, но и как средство коммуникации, вербовки продавцов и курьеров, способ и место сбыта наркотиков.</w:t>
      </w:r>
    </w:p>
    <w:p w:rsidR="00DC1467" w:rsidRDefault="00B70D3E">
      <w:pPr>
        <w:spacing w:line="276" w:lineRule="auto"/>
        <w:ind w:firstLine="709"/>
      </w:pPr>
      <w:r>
        <w:t xml:space="preserve">В </w:t>
      </w:r>
      <w:r>
        <w:t>течение 2024 года зарегистрировано 1950 наркопреступлений указанной категории (увеличение на 0,8 %, 1935), что составляет 72 % (снижение на 5,1 %, АППГ – 77,1 %) от всех зарегистрированных преступлений в сфере НОН, в том числе 1491 (увеличение на 1,7 %, АП</w:t>
      </w:r>
      <w:r>
        <w:t>ПГ – 1466) преступление, связанное со сбытом, что составляет 73,1 % (снижение на 4,3 %, АППГ – 77,4 %) от всех сбытовых преступлений. Окончено предварительным расследованием 1284 преступлений с использованием информационно-телекоммуникационных технологий (</w:t>
      </w:r>
      <w:r>
        <w:t>снижение на 14,1 %, АППГ – 1494), раскрываемость составила 67,4 % (снижение на 7,6 %, АППГ – 75 %).</w:t>
      </w:r>
    </w:p>
    <w:p w:rsidR="00DC1467" w:rsidRDefault="00B70D3E">
      <w:pPr>
        <w:spacing w:line="276" w:lineRule="auto"/>
        <w:ind w:firstLine="709"/>
      </w:pPr>
      <w:r>
        <w:t>Наиболее опасными в социальном плане остаются преступные деяния, связанные с вовлечением в потребление наркотиков и содержанием наркопритонов. В течение 202</w:t>
      </w:r>
      <w:r>
        <w:t>4 года выявлено 16 преступлений по ст. 230 УК РФ (АППГ – 16), окончено предварительным расследованием и направлено в суд 7 (АППГ – 15).</w:t>
      </w:r>
    </w:p>
    <w:p w:rsidR="00DC1467" w:rsidRDefault="00B70D3E">
      <w:pPr>
        <w:spacing w:line="276" w:lineRule="auto"/>
        <w:ind w:firstLine="709"/>
      </w:pPr>
      <w:r>
        <w:t xml:space="preserve">Незначительно снижена эффективность работы по документированию фактов предоставления жилища для потребления наркотиков, </w:t>
      </w:r>
      <w:r>
        <w:t xml:space="preserve">возбуждено </w:t>
      </w:r>
      <w:r>
        <w:br/>
        <w:t>6 (АППГ – 10) уголовных дел по преступлениям, предусмотренным ст. 232 УК РФ, направлено в суд 5 уголовных дел (АППГ – 12).</w:t>
      </w:r>
    </w:p>
    <w:p w:rsidR="00DC1467" w:rsidRDefault="00B70D3E">
      <w:pPr>
        <w:spacing w:line="276" w:lineRule="auto"/>
        <w:ind w:firstLine="709"/>
      </w:pPr>
      <w:r>
        <w:t>В рамках деятельности, направленной на противодействие экономическим основам наркобизнеса, выявлено 14 преступлений (АППГ</w:t>
      </w:r>
      <w:r>
        <w:t xml:space="preserve"> – 17), связанных с легализацией денежных средств, закончено и направлено в суд с обвинительным заключением 10 преступлений (АППГ – 19). Сумма легализованных денежных средств по оконченным преступлениям составила 2 млн 139 тыс. рублей (АППГ – 6 млн 945 тыс</w:t>
      </w:r>
      <w:r>
        <w:t>. рублей). В рамках расследования уголовных дел по данному виду преступлений наложен арест на имущество на сумму 9 млн 654 тыс. рублей (АППГ – 3 млн 937 тыс. рублей).</w:t>
      </w:r>
    </w:p>
    <w:p w:rsidR="00DC1467" w:rsidRDefault="00B70D3E">
      <w:pPr>
        <w:spacing w:line="276" w:lineRule="auto"/>
        <w:ind w:firstLine="709"/>
      </w:pPr>
      <w:r>
        <w:t>Анализ оперативной обстановки и результаты деятельности свидетельствуют о том, что основн</w:t>
      </w:r>
      <w:r>
        <w:t xml:space="preserve">ой объем незаконного оборота наркотиков, связанный с поставкой и сбытом наркотических средств, по-прежнему сконцентрирован в руках представителей преступных групп, в том числе организованных, нередко с участием иностранных граждан, действующих в интересах </w:t>
      </w:r>
      <w:r>
        <w:t>организованных «Интернет-магазинов».</w:t>
      </w:r>
    </w:p>
    <w:p w:rsidR="00DC1467" w:rsidRDefault="00B70D3E">
      <w:pPr>
        <w:spacing w:line="276" w:lineRule="auto"/>
        <w:ind w:firstLine="709"/>
      </w:pPr>
      <w:r>
        <w:t>Значительное влияние на данный процесс сохраняют преступные группы, в состав которых входят иностранные граждане, чаще всего Таджикистана, Киргизии, Узбекистана, Азербайджана. Указанные группы в большинстве случаев нося</w:t>
      </w:r>
      <w:r>
        <w:t>т межрегиональный и межгосударственный характер. Организаторы могут проживать за границей. Наибольшее их влияние на оперативную обстановку отмечено в городах Сургуте, Нижневартовске, Нефтеюганске, Сургутском районе.</w:t>
      </w:r>
    </w:p>
    <w:p w:rsidR="00DC1467" w:rsidRDefault="00B70D3E">
      <w:pPr>
        <w:spacing w:line="276" w:lineRule="auto"/>
        <w:ind w:firstLine="709"/>
      </w:pPr>
      <w:r>
        <w:t>Благодаря планомерной работе правоохрани</w:t>
      </w:r>
      <w:r>
        <w:t xml:space="preserve">тельных органов, направленной на перекрытие каналов поставок наркотиков в округ, по данному направлению оперативно-служебной деятельности были достигнуты определенные положительные результаты. </w:t>
      </w:r>
    </w:p>
    <w:p w:rsidR="00DC1467" w:rsidRDefault="00B70D3E">
      <w:pPr>
        <w:spacing w:line="276" w:lineRule="auto"/>
        <w:ind w:firstLine="709"/>
      </w:pPr>
      <w:r>
        <w:t xml:space="preserve">Пресечено 44 канала поступления запрещенных к обороту веществ </w:t>
      </w:r>
      <w:r>
        <w:t>на территорию округа (АППГ – 39), из которых: 37 каналов из других регионов Российской Федерации (АППГ – 35) и 7 контрабандных каналов (АППГ – 4).</w:t>
      </w:r>
    </w:p>
    <w:p w:rsidR="00DC1467" w:rsidRDefault="00B70D3E">
      <w:pPr>
        <w:spacing w:line="240" w:lineRule="auto"/>
        <w:ind w:firstLine="709"/>
        <w:rPr>
          <w:i/>
          <w:sz w:val="24"/>
          <w:szCs w:val="24"/>
        </w:rPr>
      </w:pPr>
      <w:r>
        <w:rPr>
          <w:i/>
          <w:sz w:val="24"/>
          <w:szCs w:val="24"/>
        </w:rPr>
        <w:t>Справочно: Межрегиональные поставки осуществлялись из Московской, Свердловской, Тюменской, Владимирской, Волг</w:t>
      </w:r>
      <w:r>
        <w:rPr>
          <w:i/>
          <w:sz w:val="24"/>
          <w:szCs w:val="24"/>
        </w:rPr>
        <w:t>оградской, Кировской, Оренбургской и Иркутской областей, Удмуртской Республики, Республики Алтай, ЯНАО и г. Санкт-Петербург: в том числе 19 – автотранспортом, 4 – железнодорожным транспортом, 2 – транспортными компаниями, а также 12 – почтовыми отправления</w:t>
      </w:r>
      <w:r>
        <w:rPr>
          <w:i/>
          <w:sz w:val="24"/>
          <w:szCs w:val="24"/>
        </w:rPr>
        <w:t>ми.</w:t>
      </w:r>
    </w:p>
    <w:p w:rsidR="00DC1467" w:rsidRDefault="00B70D3E">
      <w:pPr>
        <w:spacing w:line="240" w:lineRule="auto"/>
        <w:ind w:firstLine="709"/>
        <w:rPr>
          <w:i/>
          <w:sz w:val="24"/>
          <w:szCs w:val="24"/>
        </w:rPr>
      </w:pPr>
      <w:r>
        <w:rPr>
          <w:i/>
          <w:sz w:val="24"/>
          <w:szCs w:val="24"/>
        </w:rPr>
        <w:t>Контрабандные поставки осуществлялись международными почтовыми отправлениями из Казахстана, Индии и Китая.</w:t>
      </w:r>
    </w:p>
    <w:p w:rsidR="00DC1467" w:rsidRDefault="00B70D3E">
      <w:pPr>
        <w:pBdr>
          <w:bottom w:val="single" w:sz="4" w:space="0" w:color="FFFFFF"/>
        </w:pBdr>
        <w:spacing w:line="240" w:lineRule="auto"/>
        <w:ind w:firstLine="709"/>
        <w:rPr>
          <w:sz w:val="24"/>
          <w:szCs w:val="24"/>
        </w:rPr>
      </w:pPr>
      <w:r>
        <w:rPr>
          <w:sz w:val="24"/>
          <w:szCs w:val="24"/>
        </w:rPr>
        <w:t xml:space="preserve">Общая масса изъятых у курьеров наркотиков составила более 38 кг </w:t>
      </w:r>
      <w:r>
        <w:rPr>
          <w:i/>
          <w:sz w:val="24"/>
          <w:szCs w:val="24"/>
        </w:rPr>
        <w:t>(38 592 грамма, п.г. – 57 кг 017 грамм)</w:t>
      </w:r>
      <w:r>
        <w:rPr>
          <w:sz w:val="24"/>
          <w:szCs w:val="24"/>
        </w:rPr>
        <w:t>.</w:t>
      </w:r>
    </w:p>
    <w:p w:rsidR="00DC1467" w:rsidRDefault="00B70D3E">
      <w:pPr>
        <w:spacing w:line="276" w:lineRule="auto"/>
        <w:ind w:firstLine="709"/>
      </w:pPr>
      <w:r>
        <w:t xml:space="preserve">В рамках проводимой работы задержано 16 </w:t>
      </w:r>
      <w:r>
        <w:t xml:space="preserve">лиц, выполнявших роль межрегиональных курьеров (АППГ – 22), действовавших в интересах «Интернет-магазинов», распространяющих наркотики бесконтактным способом, в том числе 3 гражданина иностранных государств (АППГ – 7). </w:t>
      </w:r>
    </w:p>
    <w:p w:rsidR="00DC1467" w:rsidRDefault="00B70D3E">
      <w:pPr>
        <w:spacing w:line="276" w:lineRule="auto"/>
        <w:ind w:firstLine="709"/>
      </w:pPr>
      <w:r>
        <w:t>В рамках противодействия организован</w:t>
      </w:r>
      <w:r>
        <w:t>ным формам наркопреступности раскрыто 167 преступлений, совершённых в составе организованной преступной группы (увеличение на 50,5 %, АППГ – 111), и 712 преступлений, совершённых группой лиц по предварительному сговору (снижение на 21,8 %, АППГ – 911).</w:t>
      </w:r>
    </w:p>
    <w:p w:rsidR="00DC1467" w:rsidRDefault="00B70D3E">
      <w:pPr>
        <w:spacing w:line="276" w:lineRule="auto"/>
        <w:ind w:firstLine="709"/>
      </w:pPr>
      <w:r>
        <w:t>К уголовной ответственности, по оконченным предварительным расследованием уголовным делам, в составе организованной преступной группы (ОПГ) привлечено 49 лиц (увеличение на 75 %, АППГ – 28) и 205 лиц, совершивших преступления в составе группы лиц по предва</w:t>
      </w:r>
      <w:r>
        <w:t>рительному сговору (ГПС) (снижение на 9,3 %, АППГ – 226).</w:t>
      </w:r>
    </w:p>
    <w:p w:rsidR="00DC1467" w:rsidRDefault="00B70D3E">
      <w:pPr>
        <w:spacing w:line="240" w:lineRule="auto"/>
        <w:ind w:firstLine="709"/>
        <w:rPr>
          <w:i/>
          <w:sz w:val="24"/>
          <w:szCs w:val="24"/>
        </w:rPr>
      </w:pPr>
      <w:r>
        <w:rPr>
          <w:i/>
          <w:sz w:val="24"/>
          <w:szCs w:val="24"/>
        </w:rPr>
        <w:t xml:space="preserve">Справочно: </w:t>
      </w:r>
    </w:p>
    <w:p w:rsidR="00DC1467" w:rsidRDefault="00B70D3E">
      <w:pPr>
        <w:spacing w:line="240" w:lineRule="auto"/>
        <w:ind w:firstLine="709"/>
        <w:rPr>
          <w:i/>
          <w:sz w:val="24"/>
          <w:szCs w:val="24"/>
        </w:rPr>
      </w:pPr>
      <w:r>
        <w:rPr>
          <w:i/>
          <w:sz w:val="24"/>
          <w:szCs w:val="24"/>
        </w:rPr>
        <w:t>1) В результате проведенного в период 2023-2024 гг. комплекса оперативно-розыскных, технических и следственных мероприятий, выявлена и задокументирована деятельность этнической организов</w:t>
      </w:r>
      <w:r>
        <w:rPr>
          <w:i/>
          <w:sz w:val="24"/>
          <w:szCs w:val="24"/>
        </w:rPr>
        <w:t>анной преступной группы состоящей из 15 иностранных граждан (13 – Узбекистана, Киргизии и Таджикистана – по 1), действовавшей в интересах интернет-магазина «Сургут999», занимавшейся незаконным сбытом наркотиков на территории округа.</w:t>
      </w:r>
    </w:p>
    <w:p w:rsidR="00DC1467" w:rsidRDefault="00B70D3E">
      <w:pPr>
        <w:spacing w:line="240" w:lineRule="auto"/>
        <w:ind w:firstLine="709"/>
        <w:rPr>
          <w:i/>
          <w:sz w:val="24"/>
          <w:szCs w:val="24"/>
        </w:rPr>
      </w:pPr>
      <w:r>
        <w:rPr>
          <w:i/>
          <w:sz w:val="24"/>
          <w:szCs w:val="24"/>
        </w:rPr>
        <w:t xml:space="preserve">В отношении участников </w:t>
      </w:r>
      <w:r>
        <w:rPr>
          <w:i/>
          <w:sz w:val="24"/>
          <w:szCs w:val="24"/>
        </w:rPr>
        <w:t>преступной группы возбужден ряд уголовных дел, которые соединены в одно производство. В январе 2024 года СУ УМВД России по г. Сургуту уголовное дело в отношении всех участников направлено в суд, по 24 эпизодам преступной деятельности в составе «организован</w:t>
      </w:r>
      <w:r>
        <w:rPr>
          <w:i/>
          <w:sz w:val="24"/>
          <w:szCs w:val="24"/>
        </w:rPr>
        <w:t>ной преступной группы с участием иностранных граждан».</w:t>
      </w:r>
    </w:p>
    <w:p w:rsidR="00DC1467" w:rsidRDefault="00B70D3E">
      <w:pPr>
        <w:spacing w:line="240" w:lineRule="auto"/>
        <w:ind w:firstLine="709"/>
        <w:rPr>
          <w:i/>
          <w:sz w:val="24"/>
          <w:szCs w:val="24"/>
        </w:rPr>
      </w:pPr>
      <w:r>
        <w:rPr>
          <w:i/>
          <w:sz w:val="24"/>
          <w:szCs w:val="24"/>
        </w:rPr>
        <w:t xml:space="preserve">2) В результате проведенного в 2024 году комплекса оперативно-розыскных, технических и следственных мероприятий, выявлена и задокументирована деятельность организованной преступной группы состоящей из </w:t>
      </w:r>
      <w:r>
        <w:rPr>
          <w:i/>
          <w:sz w:val="24"/>
          <w:szCs w:val="24"/>
        </w:rPr>
        <w:t>4 граждан (3 – жителей Югры и 1 – жителя Иркутской области), действовавшей в интересах интернет-магазина «Рик и Морти», занимавшейся незаконным сбытом наркотиков на территории округа.</w:t>
      </w:r>
    </w:p>
    <w:p w:rsidR="00DC1467" w:rsidRDefault="00B70D3E">
      <w:pPr>
        <w:spacing w:line="240" w:lineRule="auto"/>
        <w:ind w:firstLine="709"/>
        <w:rPr>
          <w:i/>
          <w:sz w:val="24"/>
          <w:szCs w:val="24"/>
        </w:rPr>
      </w:pPr>
      <w:r>
        <w:rPr>
          <w:i/>
          <w:sz w:val="24"/>
          <w:szCs w:val="24"/>
        </w:rPr>
        <w:t>В отношении участников преступной группы возбужден ряд уголовных дел, ко</w:t>
      </w:r>
      <w:r>
        <w:rPr>
          <w:i/>
          <w:sz w:val="24"/>
          <w:szCs w:val="24"/>
        </w:rPr>
        <w:t>торые соединены в одно производство. В октябре-ноябре 2024 года СО ОМВД России по г. Югорску уголовное дело в отношении всех участников направлено в суд, по 40 эпизодам преступной деятельности в составе «организованной преступной группы».</w:t>
      </w:r>
    </w:p>
    <w:p w:rsidR="00DC1467" w:rsidRDefault="00B70D3E">
      <w:pPr>
        <w:spacing w:line="276" w:lineRule="auto"/>
        <w:ind w:firstLine="709"/>
      </w:pPr>
      <w:r>
        <w:t>Проводимый анализ</w:t>
      </w:r>
      <w:r>
        <w:t xml:space="preserve"> информации о лицах, распространяющих наркотики, свидетельствует, что основными сбытчиками, как и прежде, остаются граждане, проживающие на территории автономного округа. В течение года к уголовной ответственности по ст. 228.1 УК РФ привлечено 209 (-7,5 %,</w:t>
      </w:r>
      <w:r>
        <w:t xml:space="preserve"> п.г. – 226) граждан РФ, в том числе 171 (+23,9 %, п.г. – 138) житель Югры. Отмечено значительное сокращение вовлеченности в незаконный сбыт наркотиков, жителей других регионов Российской Федерации, к уголовной ответственности за сбыт подконтрольных вещест</w:t>
      </w:r>
      <w:r>
        <w:t>в привлечено 36 (снижение на 59,1 %, АППГ – 88) жителей других регионов, в том числе: Иркутской области – 19, Пермской области – 4, Свердловской и Омской областей – по 2, Московской, Тюменской, Курганской, Владимирской, Ростовской и Новосибирской областей,</w:t>
      </w:r>
      <w:r>
        <w:t xml:space="preserve"> а также ЯНАО, Краснодарского края и Республики Крым – по 1.</w:t>
      </w:r>
    </w:p>
    <w:p w:rsidR="00DC1467" w:rsidRDefault="00B70D3E">
      <w:pPr>
        <w:pBdr>
          <w:bottom w:val="single" w:sz="4" w:space="0" w:color="FFFFFF"/>
        </w:pBdr>
        <w:spacing w:line="276" w:lineRule="auto"/>
        <w:ind w:firstLine="709"/>
      </w:pPr>
      <w:r>
        <w:t>В целях перекрытия каналов поступления наркотиков продолжена целенаправленная работа в отношении граждан, прибывающих на территорию Югры из других регионов страны.</w:t>
      </w:r>
    </w:p>
    <w:p w:rsidR="00DC1467" w:rsidRDefault="00B70D3E">
      <w:pPr>
        <w:spacing w:line="276" w:lineRule="auto"/>
        <w:ind w:firstLine="709"/>
      </w:pPr>
      <w:r>
        <w:t>Как и годом раннее, подавляющее</w:t>
      </w:r>
      <w:r>
        <w:t xml:space="preserve"> большинство из числа привлеченных к уголовной ответственности за совершение преступлений в сфере НОН – 772 (АППГ – 801), составляют мужчины – 658 или 85,2 %, женщины – 114 или 14,7 %, и не имеют постоянного источника дохода – 510 или 66,1 %.</w:t>
      </w:r>
    </w:p>
    <w:p w:rsidR="00DC1467" w:rsidRDefault="00B70D3E">
      <w:pPr>
        <w:spacing w:line="276" w:lineRule="auto"/>
        <w:ind w:firstLine="709"/>
      </w:pPr>
      <w:r>
        <w:t xml:space="preserve">К возрастной </w:t>
      </w:r>
      <w:r>
        <w:t>группе от 18 до 29 лет относятся – 275 или 35,6 % привлеченных к уголовной ответственности за НОН, к группе от 30 до 39 лет – 270 или 35 %, к группе от 40 лет и старше – 204 или 26,4 % и к группе от 14 до 17 лет – 23 или 3 % (АППГ – 8 или 1 %).</w:t>
      </w:r>
    </w:p>
    <w:p w:rsidR="00DC1467" w:rsidRDefault="00B70D3E">
      <w:pPr>
        <w:spacing w:line="276" w:lineRule="auto"/>
        <w:ind w:firstLine="709"/>
      </w:pPr>
      <w:r>
        <w:t>Из общего ч</w:t>
      </w:r>
      <w:r>
        <w:t>исла лиц, привлеченных к уголовной ответственности за совершение преступлений в сфере НОН, 699 лиц (АППГ – 747) – граждане Российской Федерации, что составляет более 90,5 % (АППГ – 93,3 %).</w:t>
      </w:r>
    </w:p>
    <w:p w:rsidR="00DC1467" w:rsidRDefault="00B70D3E">
      <w:pPr>
        <w:spacing w:line="276" w:lineRule="auto"/>
        <w:ind w:firstLine="709"/>
      </w:pPr>
      <w:r>
        <w:t>Одновременно с этим, одним из ключевых факторов, оказывающих негат</w:t>
      </w:r>
      <w:r>
        <w:t xml:space="preserve">ивное влияние на развитие наркоситуации, продолжает остаться миграционная ситуация, складывающаяся на территории </w:t>
      </w:r>
      <w:r>
        <w:br/>
        <w:t>Ханты-Мансийского автономного округа – Югры.</w:t>
      </w:r>
    </w:p>
    <w:p w:rsidR="00DC1467" w:rsidRDefault="00B70D3E">
      <w:pPr>
        <w:spacing w:line="276" w:lineRule="auto"/>
        <w:ind w:firstLine="709"/>
      </w:pPr>
      <w:r>
        <w:t xml:space="preserve">По итогам 12 месяцев 2024 года миграционная ситуация на территории Ханты-Мансийского автономного </w:t>
      </w:r>
      <w:r>
        <w:t>округа – Югры характеризуется снижением количества фактов постановки на миграционный учет иностранных граждан (на 5,6 %, со 170868 до 161383), и значительным увеличением снятия с учета (на 29,2 %, со 130985 до 169178).</w:t>
      </w:r>
    </w:p>
    <w:p w:rsidR="00DC1467" w:rsidRDefault="00B70D3E">
      <w:pPr>
        <w:pStyle w:val="ad"/>
        <w:spacing w:line="276" w:lineRule="auto"/>
        <w:ind w:left="0" w:firstLine="709"/>
      </w:pPr>
      <w:r>
        <w:t>Кроме того, отмечается незначительное</w:t>
      </w:r>
      <w:r>
        <w:t xml:space="preserve"> уменьшение числа иностранных граждан, фактически состоящих на миграционном учете (на 3,3 %; с 40870 до 39503).</w:t>
      </w:r>
    </w:p>
    <w:p w:rsidR="00DC1467" w:rsidRDefault="00B70D3E">
      <w:pPr>
        <w:spacing w:line="276" w:lineRule="auto"/>
        <w:ind w:firstLine="709"/>
      </w:pPr>
      <w:r>
        <w:t>Основной миграционный поток приходится (от числа первично поставленных) на граждан государств – участников СНГ, что в количественном выражении с</w:t>
      </w:r>
      <w:r>
        <w:t>оставляет 97 % (или 69046 из 71211). Более половины всех иностранных граждан, прибывших в Российскую Федерацию, составляют граждане Таджикистана – 35,7 % (25430) и Узбекистана – 29,8 % (21254).</w:t>
      </w:r>
    </w:p>
    <w:p w:rsidR="00DC1467" w:rsidRDefault="00B70D3E">
      <w:pPr>
        <w:spacing w:line="276" w:lineRule="auto"/>
        <w:ind w:firstLine="709"/>
      </w:pPr>
      <w:r>
        <w:t>Основной целью пребывания иностранных граждан по-прежнему явля</w:t>
      </w:r>
      <w:r>
        <w:t>ется «работа», 81,1 % (или 32040 из 39503) мигрантов, находящихся на территории округа, осуществляют трудовую деятельность (в том числе: в сфере добычи полезных ископаемых – 23 %; в строительстве – 21,4 %; в оптовой и розничной торговле – 19,3 %).</w:t>
      </w:r>
    </w:p>
    <w:p w:rsidR="00DC1467" w:rsidRDefault="00B70D3E">
      <w:pPr>
        <w:spacing w:line="276" w:lineRule="auto"/>
        <w:ind w:firstLine="709"/>
      </w:pPr>
      <w:r>
        <w:t>Наблюдае</w:t>
      </w:r>
      <w:r>
        <w:t>тся значительное снижение числа лиц, приобретших российское гражданство (на 33,6 %; с 16280 до 10810), количества оформленных разрешений на временное проживание в Российской Федерации (на 75,5 %; с 3319 до 812), а также видов на жительство (на 10,1 %; с 96</w:t>
      </w:r>
      <w:r>
        <w:t>80 до 8698).</w:t>
      </w:r>
    </w:p>
    <w:p w:rsidR="00DC1467" w:rsidRDefault="00B70D3E">
      <w:pPr>
        <w:spacing w:line="276" w:lineRule="auto"/>
        <w:ind w:firstLine="709"/>
      </w:pPr>
      <w:r>
        <w:t xml:space="preserve">Оформлено 25348 патентов (снижение на 17,5 %, АППГ – 30713). В 2024 году от работодателей, заказчиков работ (услуг) поступило </w:t>
      </w:r>
      <w:r>
        <w:br/>
        <w:t>38 239 (увеличение на 25,8 %, АППГ – 30388) уведомлений о заключении трудовых договоров с иностранными гражданами, о</w:t>
      </w:r>
      <w:r>
        <w:t>существляющими трудовую деятельность, из них: 56,8 % – на основании патентов и разрешений на работу, 43,2 % – без разрешительных документов, а также 28170 (увеличение на 27,3 %, АППГ – 22127) о расторжении трудовых или гражданско-правовых договоров с иност</w:t>
      </w:r>
      <w:r>
        <w:t>ранцами.</w:t>
      </w:r>
    </w:p>
    <w:p w:rsidR="00DC1467" w:rsidRDefault="00B70D3E">
      <w:pPr>
        <w:pStyle w:val="ad"/>
        <w:spacing w:line="276" w:lineRule="auto"/>
        <w:ind w:left="0" w:firstLine="709"/>
      </w:pPr>
      <w:r>
        <w:t>В 2024 году оформлено 103 разрешения на работу (снижение на 21,4 %, АППГ – 131), в том числе 45 (снижение на 21 %, АППГ – 57) высококвалифицированным специалистам.</w:t>
      </w:r>
    </w:p>
    <w:p w:rsidR="00DC1467" w:rsidRDefault="00B70D3E">
      <w:pPr>
        <w:spacing w:line="276" w:lineRule="auto"/>
        <w:ind w:firstLine="709"/>
      </w:pPr>
      <w:r>
        <w:t>В отношении иностранных граждан и лиц без гражданства принято 257 решений об отказе</w:t>
      </w:r>
      <w:r>
        <w:t xml:space="preserve"> в выдаче (увеличение на 1,6 %) и 2 424 – об аннулировании (увеличение в 1,8 раза) разрешительных документов.</w:t>
      </w:r>
    </w:p>
    <w:p w:rsidR="00DC1467" w:rsidRDefault="00B70D3E">
      <w:pPr>
        <w:spacing w:line="276" w:lineRule="auto"/>
        <w:ind w:firstLine="709"/>
      </w:pPr>
      <w:r>
        <w:t>В целях повышения уровня контроля за нахождением иностранных граждан на территории округа, профилактики совершения ими преступных деяний и оздоров</w:t>
      </w:r>
      <w:r>
        <w:t>ления криминогенной ситуации, в течение 2024 года сотрудниками У(О)МВД на территории автономного округа проведены оперативно-профилактические мероприятия: оперативно-проифлактическое мероприятие (ОПМ) «Работодатель» (с 29 января по 2 февраля), ОПМ «Мигрант</w:t>
      </w:r>
      <w:r>
        <w:t>» (с 19 по 22 марта), ОПМ «Иностранец» (с 21 по 24 мая), «Нелегал-2024» (1 этап – с 3 по 9 июня; 2 этап – с 30 сентября по 6 октября).</w:t>
      </w:r>
    </w:p>
    <w:p w:rsidR="00DC1467" w:rsidRDefault="00B70D3E">
      <w:pPr>
        <w:spacing w:line="276" w:lineRule="auto"/>
        <w:ind w:firstLine="709"/>
      </w:pPr>
      <w:r>
        <w:t>Всего в рамках осуществления контроля за исполнением миграционного законодательства проведено 2835 (увеличение в 4,3 раза</w:t>
      </w:r>
      <w:r>
        <w:t>, АППГ – 663) проверочных мероприятий на объектах торговли и строительства, в жилом секторе и местах компактного пребывания (проживания) иностранцев.</w:t>
      </w:r>
    </w:p>
    <w:p w:rsidR="00DC1467" w:rsidRDefault="00B70D3E">
      <w:pPr>
        <w:spacing w:line="276" w:lineRule="auto"/>
        <w:ind w:firstLine="709"/>
      </w:pPr>
      <w:r>
        <w:t>По результатам контрольных (надзорных) мероприятий должностными лицами У</w:t>
      </w:r>
      <w:r>
        <w:t>(О)МВД пресечено 11707 (увеличение на 1,2 %, АППГ – 11573) административных правонарушений, предусмотренных главой 18 КоАП РФ и ст.19.27 КоАП РФ.</w:t>
      </w:r>
    </w:p>
    <w:p w:rsidR="00DC1467" w:rsidRDefault="00B70D3E">
      <w:pPr>
        <w:pStyle w:val="ad"/>
        <w:spacing w:line="276" w:lineRule="auto"/>
        <w:ind w:left="0" w:firstLine="709"/>
      </w:pPr>
      <w:r>
        <w:t>Удалось достичь значительного увеличения числа выявленных иностранных граждан, незаконно находящихся на террит</w:t>
      </w:r>
      <w:r>
        <w:t>ории Российской Федерации (на 17,3 %, с 1360 до 1595), а также количества принятых судебными органами решений об административном выдворении иностранных граждан за пределы Российской Федерации (на 46,5 %, с 988 до 1447), при этом их исполнение также возрос</w:t>
      </w:r>
      <w:r>
        <w:t xml:space="preserve">ло (в 1,5 раза, с 842 до 1263). </w:t>
      </w:r>
    </w:p>
    <w:p w:rsidR="00DC1467" w:rsidRDefault="00B70D3E">
      <w:pPr>
        <w:spacing w:line="276" w:lineRule="auto"/>
        <w:ind w:firstLine="709"/>
      </w:pPr>
      <w:r>
        <w:t>В течение 2024 года отмечено увеличение на 5,7% (с 333 до 352) числа преступных деяний, а также числа иностранных граждан и лиц без гражданства, их совершивших на 9,1 % (с 252 до 275). При этом наблюдается снижение количества преступлений, совершенных в от</w:t>
      </w:r>
      <w:r>
        <w:t>ношении указанных лиц (на 11,5 %, со 113 до 100).</w:t>
      </w:r>
    </w:p>
    <w:p w:rsidR="00DC1467" w:rsidRDefault="00B70D3E">
      <w:pPr>
        <w:spacing w:line="276" w:lineRule="auto"/>
        <w:ind w:firstLine="709"/>
      </w:pPr>
      <w:r>
        <w:t>В целом миграционная ситуация на территории Ханты-Мансийского автономного округа – Югры характеризуется как стабильная, контролируемая и прогнозируемая.</w:t>
      </w:r>
    </w:p>
    <w:p w:rsidR="00DC1467" w:rsidRDefault="00B70D3E">
      <w:pPr>
        <w:spacing w:line="276" w:lineRule="auto"/>
        <w:ind w:firstLine="709"/>
      </w:pPr>
      <w:r>
        <w:t>Вместе с тем в течение 2024 года к уголовной ответств</w:t>
      </w:r>
      <w:r>
        <w:t>енности за совершение преступлений в сфере НОН привлечено 72 (увеличение на 33,3%; 54) иностранца, в том числе: Узбекистана – 48 (АППГ – 10), Таджикистана – 12 (АППГ – 25), Киргизии – 6 (АППГ – 7), Белоруссии – 5 (АППГ – 4), Азербайджана – 1 (АППГ – 5). Кр</w:t>
      </w:r>
      <w:r>
        <w:t>оме того, к ответственности привлечено 1 лицо без гражданства (АППГ – 0).</w:t>
      </w:r>
    </w:p>
    <w:p w:rsidR="00DC1467" w:rsidRDefault="00B70D3E">
      <w:pPr>
        <w:spacing w:line="276" w:lineRule="auto"/>
        <w:ind w:firstLine="709"/>
      </w:pPr>
      <w:r>
        <w:t>Данные граждане составляют 9,5 % (увеличение на 2,8 %) от общего числа лиц, привлеченных к уголовной ответственности за совершение наркопреступлений.</w:t>
      </w:r>
    </w:p>
    <w:p w:rsidR="00DC1467" w:rsidRDefault="00B70D3E">
      <w:pPr>
        <w:spacing w:line="276" w:lineRule="auto"/>
        <w:ind w:firstLine="709"/>
      </w:pPr>
      <w:r>
        <w:t>При этом из общего числа привлеч</w:t>
      </w:r>
      <w:r>
        <w:t>енных к уголовной ответственности за наркопреступления иностранцев 68 привлечены за сбыт (увеличение на 44,7 %, АППГ – 47).</w:t>
      </w:r>
    </w:p>
    <w:p w:rsidR="00DC1467" w:rsidRDefault="00B70D3E">
      <w:pPr>
        <w:spacing w:line="240" w:lineRule="auto"/>
        <w:ind w:firstLine="709"/>
        <w:rPr>
          <w:i/>
          <w:sz w:val="24"/>
          <w:szCs w:val="24"/>
        </w:rPr>
      </w:pPr>
      <w:r>
        <w:rPr>
          <w:i/>
          <w:sz w:val="24"/>
          <w:szCs w:val="24"/>
        </w:rPr>
        <w:t xml:space="preserve">Справочно: </w:t>
      </w:r>
    </w:p>
    <w:p w:rsidR="00DC1467" w:rsidRDefault="00B70D3E">
      <w:pPr>
        <w:spacing w:line="240" w:lineRule="auto"/>
        <w:ind w:firstLine="709"/>
        <w:rPr>
          <w:i/>
          <w:sz w:val="24"/>
          <w:szCs w:val="24"/>
        </w:rPr>
      </w:pPr>
      <w:r>
        <w:rPr>
          <w:i/>
          <w:sz w:val="24"/>
          <w:szCs w:val="24"/>
        </w:rPr>
        <w:t>В течение 2024 года на территории округа за незаконный сбыт наркотиков задержан 31 иностранный гражданин (-33,3%, АППГ –</w:t>
      </w:r>
      <w:r>
        <w:rPr>
          <w:i/>
          <w:sz w:val="24"/>
          <w:szCs w:val="24"/>
        </w:rPr>
        <w:t xml:space="preserve"> 48), в том числе завербованные для работы на Интернет-магазины, у которых в общей сложности изъято 7 кг 005 грамм наркотиков (АППГ – 13 кг 874 грамм).</w:t>
      </w:r>
    </w:p>
    <w:p w:rsidR="00DC1467" w:rsidRDefault="00B70D3E">
      <w:pPr>
        <w:spacing w:line="240" w:lineRule="auto"/>
        <w:ind w:firstLine="709"/>
        <w:rPr>
          <w:i/>
          <w:sz w:val="24"/>
          <w:szCs w:val="24"/>
        </w:rPr>
      </w:pPr>
      <w:r>
        <w:rPr>
          <w:i/>
          <w:sz w:val="24"/>
          <w:szCs w:val="24"/>
        </w:rPr>
        <w:t>Из общего количества задержанных иностранцев: 15 граждан Узбекистана (АППГ – 21), 9 граждан Беларуси (АП</w:t>
      </w:r>
      <w:r>
        <w:rPr>
          <w:i/>
          <w:sz w:val="24"/>
          <w:szCs w:val="24"/>
        </w:rPr>
        <w:t>ПГ – 6), 6 граждан Таджикистана (АППГ – 12), 4 гражданина Казахстана (АППГ – 0), 3 гражданина Азербайджана (АППГ – 2), 2 гражданина Кыргызстана (АППГ – 7) и 1 гражданин Украины (АППГ – 0).</w:t>
      </w:r>
    </w:p>
    <w:p w:rsidR="00DC1467" w:rsidRDefault="00B70D3E">
      <w:pPr>
        <w:spacing w:line="276" w:lineRule="auto"/>
        <w:ind w:firstLine="709"/>
      </w:pPr>
      <w:r>
        <w:t>Основными центрами реализации наркотических средств среди иностранн</w:t>
      </w:r>
      <w:r>
        <w:t xml:space="preserve">ых граждан являлись города Сургут, Нижневартовск </w:t>
      </w:r>
      <w:r>
        <w:br/>
        <w:t xml:space="preserve">и Ханты-Мансийск. </w:t>
      </w:r>
    </w:p>
    <w:p w:rsidR="00DC1467" w:rsidRDefault="00B70D3E">
      <w:pPr>
        <w:spacing w:line="276" w:lineRule="auto"/>
        <w:ind w:firstLine="709"/>
      </w:pPr>
      <w:r>
        <w:t xml:space="preserve">В связи с проявлением криминальной активности на территории Ханты-Мансийского автономного округа – Югры граждан сопредельных государств, занимающихся сбытом наркотических средств в особо </w:t>
      </w:r>
      <w:r>
        <w:t>крупных размерах, организована целенаправленная работа в отношении иностранных граждан, прибывающих на территорию оперативного обслуживания. В целях недопущения нахождения на территории Российской Федерации иностранных граждан и лиц без гражданства, соверш</w:t>
      </w:r>
      <w:r>
        <w:t xml:space="preserve">ивших преступления и правонарушения, связанные с незаконным оборотом наркотических средств, психотропных веществ и их прекурсоров, в отчетном году УМВД России по округу в порядке ч. 3 ст. 27 Федерального закона от 15.08.1996 № 114-ФЗ </w:t>
      </w:r>
      <w:r>
        <w:br/>
        <w:t xml:space="preserve">«О порядке выезда из </w:t>
      </w:r>
      <w:r>
        <w:t>Российской Федерации и въезда в Российскую Федерацию» решения о неразрешении въезда приняты в отношении 10 иностранных граждан (п.г. – 11).</w:t>
      </w:r>
    </w:p>
    <w:p w:rsidR="00DC1467" w:rsidRDefault="00B70D3E">
      <w:pPr>
        <w:spacing w:line="276" w:lineRule="auto"/>
        <w:ind w:firstLine="709"/>
      </w:pPr>
      <w:r>
        <w:t>Продолжена реализация мер, направленных на противодействие производству и изготовлению наркотиков на территории реги</w:t>
      </w:r>
      <w:r>
        <w:t>она. На постоянной основе организовано взаимодействие с транспортными компаниями и ФГУП «Почта России», в рамках которого осуществляются мероприятия по выявлению фактов поставок прекурсоров наркотических средств, химических реактивов и оборудования, исполь</w:t>
      </w:r>
      <w:r>
        <w:t xml:space="preserve">зуемых для изготовления наркотиков в лабораторных условиях. </w:t>
      </w:r>
    </w:p>
    <w:p w:rsidR="00DC1467" w:rsidRDefault="00B70D3E">
      <w:pPr>
        <w:spacing w:line="276" w:lineRule="auto"/>
        <w:ind w:firstLine="709"/>
      </w:pPr>
      <w:r>
        <w:t>В рамках работы по данному направлению, задокументировано 2 факта производства наркотиков в лабораторных условиях (1 – производства на территории Югры, 1 – на территории Псковской области). Изгот</w:t>
      </w:r>
      <w:r>
        <w:t>авливаемые наркотики предназначались для незаконного сбыта, в том числе на территории Югры.</w:t>
      </w:r>
    </w:p>
    <w:p w:rsidR="00DC1467" w:rsidRDefault="00B70D3E">
      <w:pPr>
        <w:spacing w:line="276" w:lineRule="auto"/>
        <w:ind w:firstLine="709"/>
      </w:pPr>
      <w:r>
        <w:t xml:space="preserve">Несмотря на то, что Ханты-Мансийский автономный округ – Югра </w:t>
      </w:r>
      <w:r>
        <w:br/>
        <w:t xml:space="preserve">не является приграничным регионом, в целях профилактики </w:t>
      </w:r>
      <w:r>
        <w:br/>
        <w:t xml:space="preserve">и противодействия незаконному контрабандному </w:t>
      </w:r>
      <w:r>
        <w:t>ввозу на территорию округа подконтрольных веществ из-за рубежа, посредством международных почтовых отправлений, на постоянной основе налажен обмен оперативно-значимой, справочно-криминалистической и иной информацией о лицах, причастных к противоправной дея</w:t>
      </w:r>
      <w:r>
        <w:t>тельности в сфере незаконного оборота наркотиков, фактах подготавливаемых и совершаемых преступлений в данной сфере, для проведения последующих упреждающих мероприятий с Уральским таможенным управлением ФТС России.</w:t>
      </w:r>
    </w:p>
    <w:p w:rsidR="00DC1467" w:rsidRDefault="00B70D3E">
      <w:pPr>
        <w:spacing w:line="276" w:lineRule="auto"/>
        <w:ind w:firstLine="709"/>
      </w:pPr>
      <w:r>
        <w:t>По результатам проводимых совместных опер</w:t>
      </w:r>
      <w:r>
        <w:t>ативно-розыскных мероприятий выявлено 7 фактов (АППГ – 3) контрабанды сильнодействующих веществ общей массой 2 кг 841 грамм. Перекрыты каналы поступления подконтрольных веществ из-за границы: из Казахстана – 4, Индии – 2, Китая – 1.</w:t>
      </w:r>
    </w:p>
    <w:p w:rsidR="00DC1467" w:rsidRDefault="00B70D3E">
      <w:pPr>
        <w:spacing w:line="240" w:lineRule="auto"/>
        <w:ind w:firstLine="709"/>
        <w:rPr>
          <w:i/>
          <w:sz w:val="24"/>
          <w:szCs w:val="24"/>
        </w:rPr>
      </w:pPr>
      <w:r>
        <w:rPr>
          <w:i/>
          <w:sz w:val="24"/>
          <w:szCs w:val="24"/>
        </w:rPr>
        <w:t xml:space="preserve">Справочно: </w:t>
      </w:r>
    </w:p>
    <w:p w:rsidR="00DC1467" w:rsidRDefault="00B70D3E">
      <w:pPr>
        <w:pStyle w:val="ad"/>
        <w:spacing w:line="240" w:lineRule="auto"/>
        <w:ind w:left="0" w:firstLine="709"/>
        <w:rPr>
          <w:i/>
          <w:sz w:val="24"/>
          <w:szCs w:val="24"/>
        </w:rPr>
      </w:pPr>
      <w:r>
        <w:rPr>
          <w:i/>
          <w:sz w:val="24"/>
          <w:szCs w:val="24"/>
        </w:rPr>
        <w:t>1. В сентяб</w:t>
      </w:r>
      <w:r>
        <w:rPr>
          <w:i/>
          <w:sz w:val="24"/>
          <w:szCs w:val="24"/>
        </w:rPr>
        <w:t>ре задокументирован факт контрабандной поставки сильнодействующего вещества – прегабалин, массой 1 кг 997 грамм в г. Лангепас, посредством международного почтового отправления из Китая. По данному факту возбуждено уголовное дело по ч. 2 ст. 226.1 УК РФ.</w:t>
      </w:r>
    </w:p>
    <w:p w:rsidR="00DC1467" w:rsidRDefault="00B70D3E">
      <w:pPr>
        <w:pStyle w:val="ad"/>
        <w:spacing w:line="240" w:lineRule="auto"/>
        <w:ind w:left="0" w:firstLine="709"/>
        <w:rPr>
          <w:i/>
          <w:sz w:val="24"/>
          <w:szCs w:val="24"/>
        </w:rPr>
      </w:pPr>
      <w:r>
        <w:rPr>
          <w:i/>
          <w:sz w:val="24"/>
          <w:szCs w:val="24"/>
        </w:rPr>
        <w:t>2.</w:t>
      </w:r>
      <w:r>
        <w:rPr>
          <w:i/>
          <w:sz w:val="24"/>
          <w:szCs w:val="24"/>
        </w:rPr>
        <w:t xml:space="preserve"> В декабре задокументирован факт контрабандной поставки сильнодействующего вещества – сибутрамин, массой 513,4 грамма в г. Югорск, посредством международного почтового отправления из Республики Казахстан. </w:t>
      </w:r>
      <w:r>
        <w:rPr>
          <w:i/>
          <w:sz w:val="24"/>
          <w:szCs w:val="24"/>
        </w:rPr>
        <w:br/>
        <w:t>По данному факту возбуждено уголовное дело по ч. 8</w:t>
      </w:r>
      <w:r>
        <w:rPr>
          <w:i/>
          <w:sz w:val="24"/>
          <w:szCs w:val="24"/>
        </w:rPr>
        <w:t xml:space="preserve"> ст. 226.1 УК РФ.</w:t>
      </w:r>
    </w:p>
    <w:p w:rsidR="00DC1467" w:rsidRDefault="00B70D3E">
      <w:pPr>
        <w:spacing w:line="276" w:lineRule="auto"/>
        <w:ind w:firstLine="709"/>
      </w:pPr>
      <w:r>
        <w:t>Влияние на развитие наркоситуации в округе, лиц осужденных за совершение преступлений в сфере НОН и находящихся в учреждениях ФСИН России, расположенных на территории округа, не существенно.</w:t>
      </w:r>
    </w:p>
    <w:p w:rsidR="00DC1467" w:rsidRDefault="00B70D3E">
      <w:pPr>
        <w:pStyle w:val="aff5"/>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На территории Югры расположено 3 исправительных</w:t>
      </w:r>
      <w:r>
        <w:rPr>
          <w:rFonts w:ascii="Times New Roman" w:hAnsi="Times New Roman" w:cs="Times New Roman"/>
          <w:sz w:val="28"/>
          <w:szCs w:val="28"/>
        </w:rPr>
        <w:t xml:space="preserve"> учреждения ФСИН России:</w:t>
      </w:r>
    </w:p>
    <w:p w:rsidR="00DC1467" w:rsidRDefault="00B70D3E">
      <w:pPr>
        <w:pStyle w:val="aff5"/>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исправительная колония № 11 (строгий режим) в г. Сургуте, лимит наполнения составляет 1313 человек, за совершение преступлений в сфере НОН содержится 256 (увеличение на 46,3 %, АППГ – 175).</w:t>
      </w:r>
    </w:p>
    <w:p w:rsidR="00DC1467" w:rsidRDefault="00B70D3E">
      <w:pPr>
        <w:pStyle w:val="aff5"/>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исправительная колония № 15 (общий режим)</w:t>
      </w:r>
      <w:r>
        <w:rPr>
          <w:rFonts w:ascii="Times New Roman" w:hAnsi="Times New Roman" w:cs="Times New Roman"/>
          <w:sz w:val="28"/>
          <w:szCs w:val="28"/>
        </w:rPr>
        <w:t xml:space="preserve"> в г. Нижневартовске, лимит наполнения составляет 334 человека, за совершение преступлений в сфере НОН содержится 50 (снижение на 64,3 %, АППГ – 140).</w:t>
      </w:r>
    </w:p>
    <w:p w:rsidR="00DC1467" w:rsidRDefault="00B70D3E">
      <w:pPr>
        <w:pStyle w:val="aff5"/>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лечебно-исправительное учреждение № 17 в г. Сургуте, лимит наполнения составляет 816 человек, за совершен</w:t>
      </w:r>
      <w:r>
        <w:rPr>
          <w:rFonts w:ascii="Times New Roman" w:hAnsi="Times New Roman" w:cs="Times New Roman"/>
          <w:sz w:val="28"/>
          <w:szCs w:val="28"/>
        </w:rPr>
        <w:t>ие преступлений в сфере НОН содержится 22 (снижение на 12 %, 25).</w:t>
      </w:r>
    </w:p>
    <w:p w:rsidR="00DC1467" w:rsidRDefault="00B70D3E">
      <w:pPr>
        <w:spacing w:line="276" w:lineRule="auto"/>
        <w:ind w:firstLine="709"/>
      </w:pPr>
      <w:r>
        <w:t>На конец 2024 года в исправительных учреждениях Управления ФСИН России по автономному округу за совершение преступлений в сфере НОН содержалось 328 лиц (снижение на 3,5 %, АППГ – 340).</w:t>
      </w:r>
    </w:p>
    <w:p w:rsidR="00DC1467" w:rsidRDefault="00B70D3E">
      <w:pPr>
        <w:spacing w:line="276" w:lineRule="auto"/>
        <w:ind w:firstLine="709"/>
      </w:pPr>
      <w:r>
        <w:t>Кроме</w:t>
      </w:r>
      <w:r>
        <w:t xml:space="preserve"> того, в следственном изоляторе № 1 Управления ФСИН России по автономному округу в г.Нижневартовске, за совершение преступлений в сфере НОН содержалось 164 человека (снижение на 32,2 %, АППГ – 242).</w:t>
      </w:r>
    </w:p>
    <w:p w:rsidR="00DC1467" w:rsidRDefault="00B70D3E">
      <w:pPr>
        <w:pStyle w:val="aff5"/>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Осуществляется планомерная работа, направленная на недопущение проникновения наркотических средств на территорию учреждений уголовно-исполнительной системы, расположенных на территории округа.</w:t>
      </w:r>
    </w:p>
    <w:p w:rsidR="00DC1467" w:rsidRDefault="00B70D3E">
      <w:pPr>
        <w:pStyle w:val="aff5"/>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В этих целях обеспечено взаимодействие и обмен информацией с уч</w:t>
      </w:r>
      <w:r>
        <w:rPr>
          <w:rFonts w:ascii="Times New Roman" w:hAnsi="Times New Roman" w:cs="Times New Roman"/>
          <w:sz w:val="28"/>
          <w:szCs w:val="28"/>
        </w:rPr>
        <w:t xml:space="preserve">реждениями уголовно-исполнительной системы, проведены совместные совещания, на которых выработаны необходимые оперативные меры. </w:t>
      </w:r>
    </w:p>
    <w:p w:rsidR="00DC1467" w:rsidRDefault="00B70D3E">
      <w:pPr>
        <w:spacing w:line="276" w:lineRule="auto"/>
        <w:ind w:firstLine="709"/>
      </w:pPr>
      <w:r>
        <w:t>Взаимодействие оперативных подразделений Управления МВД России по автономному округу с Управлением ФСИН России по автономному о</w:t>
      </w:r>
      <w:r>
        <w:t>кругу осуществляется в соответствии с требованиями:</w:t>
      </w:r>
    </w:p>
    <w:p w:rsidR="00DC1467" w:rsidRDefault="00B70D3E">
      <w:pPr>
        <w:spacing w:line="276" w:lineRule="auto"/>
        <w:ind w:firstLine="709"/>
      </w:pPr>
      <w:r>
        <w:t xml:space="preserve">приказа МВД России и ФСИН России от 02.06.2014 № 039/012 </w:t>
      </w:r>
      <w:r>
        <w:br/>
        <w:t>«О мерах по совершенствованию взаимодействия оперативных подразделений органов МВД России на региональном уровне и оперативных подразделений УФСИН</w:t>
      </w:r>
      <w:r>
        <w:t xml:space="preserve"> России по субъектам Российской Федерации, следственных изоляторов»;</w:t>
      </w:r>
    </w:p>
    <w:p w:rsidR="00DC1467" w:rsidRDefault="00B70D3E">
      <w:pPr>
        <w:spacing w:line="276" w:lineRule="auto"/>
        <w:ind w:firstLine="709"/>
      </w:pPr>
      <w:r>
        <w:t xml:space="preserve">приказа МВД России и МЮ России от 11.09.1998 № 0010/4сс </w:t>
      </w:r>
      <w:r>
        <w:br/>
        <w:t>«Об организации взаимодействия органов внутренних дел Российской Федерации и учреждений органов уголовно-исполнительной системы Ми</w:t>
      </w:r>
      <w:r>
        <w:t>нистерства юстиции Российской Федерации в сфере оперативно-розыскной деятельности»;</w:t>
      </w:r>
    </w:p>
    <w:p w:rsidR="00DC1467" w:rsidRDefault="00B70D3E">
      <w:pPr>
        <w:spacing w:line="276" w:lineRule="auto"/>
        <w:ind w:firstLine="709"/>
      </w:pPr>
      <w:r>
        <w:t xml:space="preserve">плана совместных организационных, оперативно-розыскных и профилактических мероприятий с оперативными подразделениями УМВД России по округу и УФСИН России по округу на 2024 </w:t>
      </w:r>
      <w:r>
        <w:t xml:space="preserve">год </w:t>
      </w:r>
      <w:r>
        <w:br/>
        <w:t xml:space="preserve">(приказа МВД России по округу и ФСИН России по округу </w:t>
      </w:r>
      <w:r>
        <w:br/>
        <w:t>от 10.01.2024№2/1/120А-85с).</w:t>
      </w:r>
    </w:p>
    <w:p w:rsidR="00DC1467" w:rsidRDefault="00B70D3E">
      <w:pPr>
        <w:spacing w:line="276" w:lineRule="auto"/>
        <w:ind w:firstLine="709"/>
      </w:pPr>
      <w:r>
        <w:t>В 2024 году, в результате проведения совместных разработок пресечено 4 попытки поставок наркотических средств в учреждения ФСИН России (АППГ – 4), зарегистрировано и в</w:t>
      </w:r>
      <w:r>
        <w:t>озбуждено 4 наркопреступления (АППГ – 4). Общая масса изъятых по данным фактам запрещённых веществ составила 666,29 грамма (АППГ – 28,64 грамма).</w:t>
      </w:r>
    </w:p>
    <w:p w:rsidR="00DC1467" w:rsidRDefault="00B70D3E">
      <w:pPr>
        <w:spacing w:line="276" w:lineRule="auto"/>
        <w:ind w:firstLine="709"/>
      </w:pPr>
      <w:r>
        <w:t>Неотъемлемым элементом профилактики наркопреступности остается работа по выявлению и пресечению административн</w:t>
      </w:r>
      <w:r>
        <w:t>ых правонарушений, связанных с незаконным оборотом наркотиков.</w:t>
      </w:r>
    </w:p>
    <w:p w:rsidR="00DC1467" w:rsidRDefault="00B70D3E">
      <w:pPr>
        <w:spacing w:line="276" w:lineRule="auto"/>
        <w:ind w:firstLine="709"/>
      </w:pPr>
      <w:r>
        <w:t xml:space="preserve">В 2024 году органами внутренних дел округа </w:t>
      </w:r>
      <w:r>
        <w:rPr>
          <w:rStyle w:val="HTML"/>
          <w:rFonts w:ascii="Times New Roman" w:hAnsi="Times New Roman"/>
          <w:sz w:val="28"/>
        </w:rPr>
        <w:t xml:space="preserve">в качестве превентивных мер </w:t>
      </w:r>
      <w:r>
        <w:t>пресечено 2388 (увеличение на 10,9 %, АППГ – 2153) административных правонарушений, в том числе:</w:t>
      </w:r>
    </w:p>
    <w:p w:rsidR="00DC1467" w:rsidRDefault="00B70D3E">
      <w:pPr>
        <w:spacing w:line="276" w:lineRule="auto"/>
        <w:ind w:firstLine="709"/>
      </w:pPr>
      <w:r>
        <w:t>по ст. 6.8 КоАП РФ (хране</w:t>
      </w:r>
      <w:r>
        <w:t>ние наркотиков) – 101 (увеличение на 16,1%, АППГ – 87) правонарушение;</w:t>
      </w:r>
    </w:p>
    <w:p w:rsidR="00DC1467" w:rsidRDefault="00B70D3E">
      <w:pPr>
        <w:spacing w:line="276" w:lineRule="auto"/>
        <w:ind w:firstLine="709"/>
      </w:pPr>
      <w:r>
        <w:t>по ст. 6.9 КоАП РФ (потребление наркотиков) – 1764 (увеличение на 14,4%, АППГ – 1542) правонарушения;</w:t>
      </w:r>
    </w:p>
    <w:p w:rsidR="00DC1467" w:rsidRDefault="00B70D3E">
      <w:pPr>
        <w:spacing w:line="276" w:lineRule="auto"/>
        <w:ind w:firstLine="709"/>
      </w:pPr>
      <w:r>
        <w:t xml:space="preserve">по ст. 6.13 КоАП РФ (пропаганда наркотических средств) – 40 (увеличение на 166,7%, </w:t>
      </w:r>
      <w:r>
        <w:t>АППГ – 15) правонарушений;</w:t>
      </w:r>
    </w:p>
    <w:p w:rsidR="00DC1467" w:rsidRDefault="00B70D3E">
      <w:pPr>
        <w:spacing w:line="276" w:lineRule="auto"/>
        <w:ind w:firstLine="709"/>
      </w:pPr>
      <w:r>
        <w:t>по ст. 6.16 КоАП РФ (нарушение правил оборота наркотических средств) – 1 (АППГ – 0) правонарушение;</w:t>
      </w:r>
    </w:p>
    <w:p w:rsidR="00DC1467" w:rsidRDefault="00B70D3E">
      <w:pPr>
        <w:spacing w:line="276" w:lineRule="auto"/>
        <w:ind w:firstLine="709"/>
      </w:pPr>
      <w:r>
        <w:t xml:space="preserve">по ст. 10.5.1 КоАП РФ (незаконное культивирование наркосодержащих растений) – 3 (снижение на 76,9%, АППГ – 13) правонарушения; </w:t>
      </w:r>
    </w:p>
    <w:p w:rsidR="00DC1467" w:rsidRDefault="00B70D3E">
      <w:pPr>
        <w:spacing w:line="276" w:lineRule="auto"/>
        <w:ind w:firstLine="709"/>
      </w:pPr>
      <w:r>
        <w:t xml:space="preserve">по ст. 12.8 ч. 1, 3 КоАП РФ (управление транспортным средством водителем, находящимся в состоянии опьянения (наркотического) – 183 (АППГ – 189) правонарушения; </w:t>
      </w:r>
    </w:p>
    <w:p w:rsidR="00DC1467" w:rsidRDefault="00B70D3E">
      <w:pPr>
        <w:spacing w:line="276" w:lineRule="auto"/>
        <w:ind w:firstLine="709"/>
      </w:pPr>
      <w:r>
        <w:t>по ст. 20.20 ч.ч. 2,3 КоАП РФ (потребление НС и ПВ в общественных местах) – 51 (АППГ – 56) прав</w:t>
      </w:r>
      <w:r>
        <w:t>онарушение;</w:t>
      </w:r>
    </w:p>
    <w:p w:rsidR="00DC1467" w:rsidRDefault="00B70D3E">
      <w:pPr>
        <w:spacing w:line="276" w:lineRule="auto"/>
        <w:ind w:firstLine="709"/>
      </w:pPr>
      <w:r>
        <w:t>по ст. 20.22 КоАП РФ (нахождение в состоянии опьянения (наркотического) несовершеннолетнего) – 9 (АППГ – 1) правонарушений.</w:t>
      </w:r>
    </w:p>
    <w:p w:rsidR="00DC1467" w:rsidRDefault="00B70D3E">
      <w:pPr>
        <w:spacing w:line="276" w:lineRule="auto"/>
        <w:ind w:firstLine="709"/>
      </w:pPr>
      <w:r>
        <w:t>Важной составляющей оперативно-служебной деятельности, направленной на мотивацию наркопотребителей к прохождению лечения</w:t>
      </w:r>
      <w:r>
        <w:t xml:space="preserve"> от наркотической зависимости, медицинской и социальной реабилитации, является реализация положений Федерального закона от 25.11.2013 </w:t>
      </w:r>
      <w:r>
        <w:br/>
        <w:t xml:space="preserve">№ 313-ФЗ </w:t>
      </w:r>
      <w:r>
        <w:rPr>
          <w:color w:val="000000"/>
        </w:rPr>
        <w:t>«О внесении изменений в отдельные законодательные акты Российской Федерации»</w:t>
      </w:r>
      <w:r>
        <w:rPr>
          <w:color w:val="000000"/>
          <w:sz w:val="24"/>
        </w:rPr>
        <w:t>,</w:t>
      </w:r>
      <w:r>
        <w:t xml:space="preserve"> в части, касающейся рассмотрения с</w:t>
      </w:r>
      <w:r>
        <w:t>удом дел об административных правонарушениях, связанных с незаконным потреблением наркотических средств и психотропных веществ, и принятия по ним решений о возложении на лиц обязанности пройти диагностику, профилактические мероприятия, лечение от наркомани</w:t>
      </w:r>
      <w:r>
        <w:t>и и (или) социальную реабилитацию.</w:t>
      </w:r>
    </w:p>
    <w:p w:rsidR="00DC1467" w:rsidRDefault="00B70D3E">
      <w:pPr>
        <w:spacing w:line="276" w:lineRule="auto"/>
        <w:ind w:firstLine="709"/>
      </w:pPr>
      <w:r>
        <w:t>По состоянию на 31.12.2024 на учете по исполнению обязанности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w:t>
      </w:r>
      <w:r>
        <w:t>х средств или психотропных веществ без назначения врача либо новых потенциально опасных психоактивных веществ (далее – обязанность) состояло 668 лица (АППГ – 804), в отношении которых в производстве находится 784 накопительных дела (АППГ – 918), по которым</w:t>
      </w:r>
      <w:r>
        <w:t>: исполняют возложенные обязанности – 138 (АППГ – 177), уклоняются от исполнения обязанностей – 530 снижение на 22 %, АППГ – 682), содержатся в местах лишения свободы и СИЗО – 61 (АППГ – 59), находятся в зоне СВО – 44.</w:t>
      </w:r>
    </w:p>
    <w:p w:rsidR="00DC1467" w:rsidRDefault="00B70D3E">
      <w:pPr>
        <w:spacing w:line="240" w:lineRule="auto"/>
        <w:ind w:firstLine="709"/>
        <w:rPr>
          <w:i/>
          <w:sz w:val="24"/>
          <w:szCs w:val="24"/>
        </w:rPr>
      </w:pPr>
      <w:r>
        <w:rPr>
          <w:i/>
          <w:sz w:val="24"/>
          <w:szCs w:val="24"/>
        </w:rPr>
        <w:t xml:space="preserve">Справочно: </w:t>
      </w:r>
    </w:p>
    <w:p w:rsidR="00DC1467" w:rsidRDefault="00B70D3E">
      <w:pPr>
        <w:spacing w:line="240" w:lineRule="auto"/>
        <w:ind w:firstLine="709"/>
        <w:rPr>
          <w:i/>
          <w:sz w:val="24"/>
          <w:szCs w:val="24"/>
        </w:rPr>
      </w:pPr>
      <w:r>
        <w:rPr>
          <w:i/>
          <w:sz w:val="24"/>
          <w:szCs w:val="24"/>
        </w:rPr>
        <w:t>не привлеченными к админи</w:t>
      </w:r>
      <w:r>
        <w:rPr>
          <w:i/>
          <w:sz w:val="24"/>
          <w:szCs w:val="24"/>
        </w:rPr>
        <w:t>стративной ответственности по ст. 6.9.1 КоАП РФ остаются 83 лица (п.г. – 109), уклоняющихся от возложенной обязанности, у которых срок привлечения по ст. 6.9.1 КоАП РФ не истек.</w:t>
      </w:r>
    </w:p>
    <w:p w:rsidR="00DC1467" w:rsidRDefault="00B70D3E">
      <w:pPr>
        <w:spacing w:line="276" w:lineRule="auto"/>
        <w:ind w:firstLine="709"/>
      </w:pPr>
      <w:r>
        <w:t>В течение отчетного периода, по результатам рассмотрения дел об административн</w:t>
      </w:r>
      <w:r>
        <w:t xml:space="preserve">ых правонарушениях, принято 438 (снижение на 19,3 %, АППГ – 543) решений в порядке ч. 2.1 статьи 4.1 КоАП РФ о возложении обязанностей, заведено 508 (АППГ – 532) накопительных дел (с учетом решений суда, вынесенных в 2023 году и вступивших в законную силу </w:t>
      </w:r>
      <w:r>
        <w:t>в 2024 году) по исполнению обязанности прохождения реабилитации и ресоциализации.</w:t>
      </w:r>
    </w:p>
    <w:p w:rsidR="00DC1467" w:rsidRDefault="00B70D3E">
      <w:pPr>
        <w:spacing w:line="276" w:lineRule="auto"/>
        <w:ind w:firstLine="709"/>
      </w:pPr>
      <w:r>
        <w:t>Прекращено в отчетном периоде 642 накопительных дела (АППГ – 661), из них:</w:t>
      </w:r>
    </w:p>
    <w:p w:rsidR="00DC1467" w:rsidRDefault="00B70D3E">
      <w:pPr>
        <w:spacing w:line="276" w:lineRule="auto"/>
        <w:ind w:firstLine="709"/>
      </w:pPr>
      <w:r>
        <w:t>в связи с завершением исполнения возложенной судом обязанности – 275 (снижение на 24,4 %, АППГ – 36</w:t>
      </w:r>
      <w:r>
        <w:t>4);</w:t>
      </w:r>
    </w:p>
    <w:p w:rsidR="00DC1467" w:rsidRDefault="00B70D3E">
      <w:pPr>
        <w:spacing w:line="276" w:lineRule="auto"/>
        <w:ind w:firstLine="709"/>
      </w:pPr>
      <w:r>
        <w:t>в связи с решением судьи об отмене исполнения обязанности по ходатайству ОВД – 320 (АППГ – 250);</w:t>
      </w:r>
    </w:p>
    <w:p w:rsidR="00DC1467" w:rsidRDefault="00B70D3E">
      <w:pPr>
        <w:spacing w:line="276" w:lineRule="auto"/>
        <w:ind w:firstLine="709"/>
      </w:pPr>
      <w:r>
        <w:t>в связи со смертью лица – 36 (АППГ – 39);</w:t>
      </w:r>
    </w:p>
    <w:p w:rsidR="00DC1467" w:rsidRDefault="00B70D3E">
      <w:pPr>
        <w:spacing w:line="276" w:lineRule="auto"/>
        <w:ind w:firstLine="709"/>
      </w:pPr>
      <w:r>
        <w:t>в связи со сменой места жительства в отношении лиц, поменявших постоянное место жительства за пределами округа – 11 (АППГ – 8).</w:t>
      </w:r>
    </w:p>
    <w:p w:rsidR="00DC1467" w:rsidRDefault="00B70D3E">
      <w:pPr>
        <w:spacing w:line="276" w:lineRule="auto"/>
        <w:ind w:firstLine="709"/>
      </w:pPr>
      <w:r>
        <w:t>В отчетном периоде территориальными подразделениями УМВД России по округу за совершение административных правонарушений, предусм</w:t>
      </w:r>
      <w:r>
        <w:t>отренных ст. 6.9.1 КоАП РФ (уклонение от прохождения диагностики, профилактических мероприятий, лечения от наркомании и (или) медицинской и (или) социальной реабилитации в связи с потреблением наркотических средств или психотропных веществ без назначения в</w:t>
      </w:r>
      <w:r>
        <w:t>рача либо новых потенциально опасных психоактивных веществ), составлено 236 протоколов (АППГ – 250).</w:t>
      </w:r>
    </w:p>
    <w:p w:rsidR="00DC1467" w:rsidRDefault="00B70D3E">
      <w:pPr>
        <w:spacing w:line="276" w:lineRule="auto"/>
        <w:ind w:firstLine="709"/>
      </w:pPr>
      <w:r>
        <w:t>На постоянной основе осуществляется деятельность, направленная на выявление лиц, допускающих незаконное потребление наркотических средств, психотропных вещ</w:t>
      </w:r>
      <w:r>
        <w:t>еств и новых потенциально опасных психоактивных веществ, без назначения врача, постановку их на профилактические учеты и мотивирование к прохождению лечения от наркотической зависимости, медицинской и социальной реабилитации. В рамках данной работы с лицам</w:t>
      </w:r>
      <w:r>
        <w:t>и, состоящими на профилактических учетах, участковыми уполномоченными полиции и инспекторами по делам несовершеннолетних ведется индивидуально-профилактическая работа, организуются  профилактические беседы о важности прохождения курса лечения и реабилитаци</w:t>
      </w:r>
      <w:r>
        <w:t>и, разъясняется положение уголовного и административного законодательства РФ, о необходимости в трудоустройстве при отсутствии трудовой занятости.</w:t>
      </w:r>
    </w:p>
    <w:p w:rsidR="00DC1467" w:rsidRDefault="00B70D3E">
      <w:pPr>
        <w:spacing w:line="276" w:lineRule="auto"/>
        <w:ind w:firstLine="709"/>
      </w:pPr>
      <w:r>
        <w:t>На учете в ОВД по категории «лица больные наркоманией, состоящие на учете в медицинской организации и предста</w:t>
      </w:r>
      <w:r>
        <w:t>вляющие опасность для окружающих» состояло 12 (АППГ – 59) человек, в отношении данных граждан участковыми уполномоченными полиции организована индивидуально-профилактическая работа.</w:t>
      </w:r>
    </w:p>
    <w:p w:rsidR="00DC1467" w:rsidRDefault="00B70D3E">
      <w:pPr>
        <w:spacing w:line="276" w:lineRule="auto"/>
        <w:ind w:firstLine="709"/>
        <w:rPr>
          <w:rFonts w:eastAsia="TimesNewRomanPSMT"/>
        </w:rPr>
      </w:pPr>
      <w:r>
        <w:t xml:space="preserve">В отношении указанной категории граждан </w:t>
      </w:r>
      <w:r>
        <w:rPr>
          <w:rFonts w:eastAsia="TimesNewRomanPSMT"/>
        </w:rPr>
        <w:t>участковыми уполномоченными полици</w:t>
      </w:r>
      <w:r>
        <w:rPr>
          <w:rFonts w:eastAsia="TimesNewRomanPSMT"/>
        </w:rPr>
        <w:t xml:space="preserve">и проведено 352 проверки (АППГ – 347), в ходе которых проведены профилактические беседы о важности прохождения курса дополнительного лечения и восстановления от наркозависимости, о необходимости в трудоустройстве при отсутствии трудовой занятости, а также </w:t>
      </w:r>
      <w:r>
        <w:rPr>
          <w:rFonts w:eastAsia="TimesNewRomanPSMT"/>
        </w:rPr>
        <w:t>разъяснялись положения уголовного и административного законодательства РФ.</w:t>
      </w:r>
    </w:p>
    <w:p w:rsidR="00DC1467" w:rsidRDefault="00B70D3E">
      <w:pPr>
        <w:spacing w:line="276" w:lineRule="auto"/>
        <w:ind w:firstLine="709"/>
        <w:rPr>
          <w:rFonts w:eastAsia="TimesNewRomanPSMT"/>
        </w:rPr>
      </w:pPr>
      <w:r>
        <w:rPr>
          <w:rFonts w:eastAsia="TimesNewRomanPSMT"/>
        </w:rPr>
        <w:t>С целью выявления лиц, допускающих потребления наркотических средств и психотропных веществ без назначения врача, а также организаторов, либо содержателей притонов для потребления н</w:t>
      </w:r>
      <w:r>
        <w:rPr>
          <w:rFonts w:eastAsia="TimesNewRomanPSMT"/>
        </w:rPr>
        <w:t>аркотиков, участковые уполномоченные полиции в своей повседневной работе осуществляют поквартирный (подворный) обход административного участка, так за 2024 год ими посещено свыше 700 тыс. (794 057) квартир и домовладений.</w:t>
      </w:r>
    </w:p>
    <w:p w:rsidR="00DC1467" w:rsidRDefault="00B70D3E">
      <w:pPr>
        <w:spacing w:line="276" w:lineRule="auto"/>
        <w:ind w:firstLine="709"/>
        <w:rPr>
          <w:rFonts w:eastAsia="TimesNewRomanPSMT"/>
        </w:rPr>
      </w:pPr>
      <w:r>
        <w:rPr>
          <w:rFonts w:eastAsia="TimesNewRomanPSMT"/>
        </w:rPr>
        <w:t>На постоянной основе осуществляетс</w:t>
      </w:r>
      <w:r>
        <w:rPr>
          <w:rFonts w:eastAsia="TimesNewRomanPSMT"/>
        </w:rPr>
        <w:t>я работа, направленная на снижение криминальной активности среди подростков, в том числе в сфере НОН.</w:t>
      </w:r>
    </w:p>
    <w:p w:rsidR="00DC1467" w:rsidRDefault="00B70D3E">
      <w:pPr>
        <w:spacing w:line="276" w:lineRule="auto"/>
        <w:ind w:firstLine="709"/>
      </w:pPr>
      <w:r>
        <w:t>На профилактическом учете ОДН территориальных органов внутренних дел состоит 1171 (увеличение на 4,4 %, АППГ – 1122) несовершеннолетний, из них: в связи с</w:t>
      </w:r>
      <w:r>
        <w:t xml:space="preserve"> потреблением наркотических средств – 19 (увеличение на 90 %, АППГ – 10), в связи с потреблением токсических веществ – 3 (АППГ – 8).</w:t>
      </w:r>
    </w:p>
    <w:p w:rsidR="00DC1467" w:rsidRDefault="00B70D3E">
      <w:pPr>
        <w:spacing w:line="276" w:lineRule="auto"/>
        <w:ind w:firstLine="709"/>
      </w:pPr>
      <w:r>
        <w:t>В течение 2024 года на учет было поставлено 1282 (АППГ – 1215) подростка-правонарушителя, в том числе: в связи с потреблени</w:t>
      </w:r>
      <w:r>
        <w:t xml:space="preserve">ем наркотических средств – 11 (АППГ – 4), в связи с токсикоманией – 5 (АППГ – 6). </w:t>
      </w:r>
    </w:p>
    <w:p w:rsidR="00DC1467" w:rsidRDefault="00B70D3E">
      <w:pPr>
        <w:spacing w:line="276" w:lineRule="auto"/>
        <w:ind w:firstLine="709"/>
        <w:rPr>
          <w:rFonts w:eastAsia="Arial Unicode MS"/>
        </w:rPr>
      </w:pPr>
      <w:r>
        <w:t>Кроме того, подразделениями по делам несовершеннолетних ОВД в ходе осуществления повседневной деятельности и ежеквартальных сверок с отделами участковых уполномоченных полиц</w:t>
      </w:r>
      <w:r>
        <w:t>ии по хроническим алкоголикам и наркоманам, состоящим на учете и имеющим несовершеннолетних детей, в течение 2024 года выявлен и поставлены на учет 668 (АППГ – 781) родителей, в том числе за употребление наркотических средств 1 (АППГ – 4).</w:t>
      </w:r>
    </w:p>
    <w:p w:rsidR="00DC1467" w:rsidRDefault="00B70D3E">
      <w:pPr>
        <w:spacing w:line="276" w:lineRule="auto"/>
        <w:ind w:firstLine="709"/>
      </w:pPr>
      <w:r>
        <w:t>В рамках меропри</w:t>
      </w:r>
      <w:r>
        <w:t xml:space="preserve">ятий, направленных на профилактику детского алкоголизма и наркомании, совместно с врачами-наркологами и медицинскими работниками образовательных учреждений на медицинское обследование в порядке ст. 44 Федерального закона от 08.01.1998 № 3-ФЗ </w:t>
      </w:r>
      <w:r>
        <w:br/>
        <w:t>«О наркотичес</w:t>
      </w:r>
      <w:r>
        <w:t>ких средствах и психотропных веществах» направлено 105 (АППГ – 101) несовершеннолетних и 85 (АППГ – 100) родителей, из них: 8 (АППГ – 21) подростков и 12 (АППГ – 18) взрослых прошли курс лечения в наркологических учреждениях.</w:t>
      </w:r>
    </w:p>
    <w:p w:rsidR="00DC1467" w:rsidRDefault="00B70D3E">
      <w:pPr>
        <w:spacing w:line="276" w:lineRule="auto"/>
        <w:ind w:firstLine="709"/>
        <w:rPr>
          <w:sz w:val="26"/>
          <w:szCs w:val="26"/>
          <w:highlight w:val="white"/>
        </w:rPr>
      </w:pPr>
      <w:r>
        <w:rPr>
          <w:highlight w:val="white"/>
        </w:rPr>
        <w:t>По статистическим данным Управ</w:t>
      </w:r>
      <w:r>
        <w:rPr>
          <w:highlight w:val="white"/>
        </w:rPr>
        <w:t>ления Судебного департамента в Ханты-Мансийском автономном округе – Югре</w:t>
      </w:r>
      <w:r>
        <w:rPr>
          <w:rStyle w:val="af1"/>
          <w:highlight w:val="white"/>
        </w:rPr>
        <w:footnoteReference w:id="41"/>
      </w:r>
      <w:r>
        <w:rPr>
          <w:highlight w:val="white"/>
        </w:rPr>
        <w:t>, в общей структуре судимости преступления, связанные с незаконным оборотом наркотических средств, психотропных веществ и их прекурсоров или аналогов, сильнодействующих веществ, расте</w:t>
      </w:r>
      <w:r>
        <w:rPr>
          <w:highlight w:val="white"/>
        </w:rPr>
        <w:t xml:space="preserve">ний (либо их частей), содержащих наркотические средства или психотропные вещества либо их прекурсоры, новых потенциально опасных психоактивных веществ, в том числе предусмотренные статьями 228-234.1 Уголовного кодекса Российской Федерации (далее – УК РФ), </w:t>
      </w:r>
      <w:r>
        <w:rPr>
          <w:highlight w:val="white"/>
        </w:rPr>
        <w:t xml:space="preserve">составляют значительную долю в 2024 году – 14,5%. </w:t>
      </w:r>
    </w:p>
    <w:p w:rsidR="00DC1467" w:rsidRDefault="00B70D3E">
      <w:pPr>
        <w:spacing w:line="276" w:lineRule="auto"/>
        <w:ind w:firstLine="709"/>
        <w:rPr>
          <w:sz w:val="26"/>
          <w:szCs w:val="26"/>
          <w:highlight w:val="white"/>
        </w:rPr>
      </w:pPr>
      <w:r>
        <w:rPr>
          <w:highlight w:val="white"/>
        </w:rPr>
        <w:t xml:space="preserve">В 2023 году за эти преступления осуждено 803 лица (здесь и далее – по основной и дополнительной квалификации). Из них 488 лиц – за тяжкие и особо тяжкие преступления. </w:t>
      </w:r>
    </w:p>
    <w:p w:rsidR="00DC1467" w:rsidRDefault="00B70D3E">
      <w:pPr>
        <w:spacing w:line="276" w:lineRule="auto"/>
        <w:ind w:firstLine="709"/>
        <w:rPr>
          <w:sz w:val="26"/>
          <w:szCs w:val="26"/>
          <w:highlight w:val="white"/>
        </w:rPr>
      </w:pPr>
      <w:r>
        <w:rPr>
          <w:highlight w:val="white"/>
        </w:rPr>
        <w:t>В 2024 году судимость за преступления</w:t>
      </w:r>
      <w:r>
        <w:rPr>
          <w:highlight w:val="white"/>
        </w:rPr>
        <w:t xml:space="preserve">, связанные с незаконным оборотом наркотических средств, увеличилась до 823 лиц. Число осужденных за такие преступления, относящиеся к категориям тяжких и особо тяжких, также увеличилось и составило 509 лиц. </w:t>
      </w:r>
    </w:p>
    <w:p w:rsidR="00DC1467" w:rsidRDefault="00B70D3E">
      <w:pPr>
        <w:spacing w:line="276" w:lineRule="auto"/>
        <w:ind w:firstLine="709"/>
        <w:rPr>
          <w:sz w:val="26"/>
          <w:szCs w:val="26"/>
          <w:highlight w:val="white"/>
        </w:rPr>
      </w:pPr>
      <w:r>
        <w:rPr>
          <w:highlight w:val="white"/>
        </w:rPr>
        <w:t>Сохраняется высокий уровень судимости за незако</w:t>
      </w:r>
      <w:r>
        <w:rPr>
          <w:highlight w:val="white"/>
        </w:rPr>
        <w:t>нные приобретение, хранение, перевозку, изготовление, переработку наркотических средств, психотропных веществ и их аналогов без цели сбыта: в 2023 году по статье 228 УК РФ осуждено 572 лица; в 2024 году – 556 лиц, что составляет 67,6% от числа осужденных з</w:t>
      </w:r>
      <w:r>
        <w:rPr>
          <w:highlight w:val="white"/>
        </w:rPr>
        <w:t xml:space="preserve">а все преступления, связанные с незаконным оборотом наркотических средств. </w:t>
      </w:r>
    </w:p>
    <w:p w:rsidR="00DC1467" w:rsidRDefault="00B70D3E">
      <w:pPr>
        <w:spacing w:line="276" w:lineRule="auto"/>
        <w:ind w:firstLine="709"/>
        <w:rPr>
          <w:sz w:val="26"/>
          <w:szCs w:val="26"/>
          <w:highlight w:val="white"/>
        </w:rPr>
      </w:pPr>
      <w:r>
        <w:rPr>
          <w:highlight w:val="white"/>
        </w:rPr>
        <w:t>Отмечается рост числа осужденных за незаконный сбыт указанных запрещенных веществ, а также за их незаконные производство и пересылку. По статье 228.1 УК РФ в 2023 году осуждено 240</w:t>
      </w:r>
      <w:r>
        <w:rPr>
          <w:highlight w:val="white"/>
        </w:rPr>
        <w:t xml:space="preserve"> лиц (увеличение на 15,8% по сравнению с 2022 годом), в 2024 году число осужденных за эти преступления составило 275 (рост на 12,7% по сравнению с 2023 годом). В незаконном обороте наркотиков все чаще используется сеть «Интернет» для поиска потенциальных п</w:t>
      </w:r>
      <w:r>
        <w:rPr>
          <w:highlight w:val="white"/>
        </w:rPr>
        <w:t>риобретателей и так называемого бесконтактного сбыта наркотиков. Согласно вступившим в законную силу приговорам, в 2024 году 38,2% лиц, осужденных за сбыт наркотических средств, психотропных и иных запрещенных веществ, совершили преступления с использовани</w:t>
      </w:r>
      <w:r>
        <w:rPr>
          <w:highlight w:val="white"/>
        </w:rPr>
        <w:t xml:space="preserve">ем информационно-телекоммуникационных сетей (включая сеть «Интернет»), что учтено при квалификации деяний. </w:t>
      </w:r>
    </w:p>
    <w:p w:rsidR="00DC1467" w:rsidRDefault="00B70D3E">
      <w:pPr>
        <w:spacing w:line="276" w:lineRule="auto"/>
        <w:ind w:firstLine="709"/>
        <w:rPr>
          <w:sz w:val="26"/>
          <w:szCs w:val="26"/>
          <w:highlight w:val="white"/>
        </w:rPr>
      </w:pPr>
      <w:r>
        <w:rPr>
          <w:highlight w:val="white"/>
        </w:rPr>
        <w:t>В 2024 году число осужденных за преступления, связанные с незаконным оборотом наркотических средств, в составе группы лиц по предварительному сговор</w:t>
      </w:r>
      <w:r>
        <w:rPr>
          <w:highlight w:val="white"/>
        </w:rPr>
        <w:t xml:space="preserve">у увеличилось – 226 лиц (на 11,5%), в составе организованной группы сократилось – 34 лица (на 24,4%) </w:t>
      </w:r>
    </w:p>
    <w:p w:rsidR="00DC1467" w:rsidRDefault="00B70D3E">
      <w:pPr>
        <w:spacing w:line="276" w:lineRule="auto"/>
        <w:ind w:firstLine="709"/>
        <w:rPr>
          <w:sz w:val="26"/>
          <w:szCs w:val="26"/>
          <w:highlight w:val="white"/>
        </w:rPr>
      </w:pPr>
      <w:r>
        <w:rPr>
          <w:highlight w:val="white"/>
        </w:rPr>
        <w:t>В преступную деятельность вовлекаются молодые люди, в том числе несовершеннолетние. Так, по данным за 2023 год, из числа осужденных за преступления, связа</w:t>
      </w:r>
      <w:r>
        <w:rPr>
          <w:highlight w:val="white"/>
        </w:rPr>
        <w:t>нные с незаконным оборотом наркотических средств, психотропных веществ и их аналогов, 38,7% лиц относились к возрастной группе от 18 до 29 лет, 2% лиц на момент совершения преступления не достигли совершеннолетия. В 2024 году эти показатели несколько снизи</w:t>
      </w:r>
      <w:r>
        <w:rPr>
          <w:highlight w:val="white"/>
        </w:rPr>
        <w:t xml:space="preserve">лись, составив 37,8% и 2% соответственно. </w:t>
      </w:r>
    </w:p>
    <w:p w:rsidR="00DC1467" w:rsidRDefault="00B70D3E">
      <w:pPr>
        <w:spacing w:line="276" w:lineRule="auto"/>
        <w:ind w:firstLine="708"/>
        <w:rPr>
          <w:sz w:val="26"/>
          <w:szCs w:val="26"/>
          <w:highlight w:val="white"/>
        </w:rPr>
      </w:pPr>
      <w:r>
        <w:rPr>
          <w:highlight w:val="white"/>
        </w:rPr>
        <w:t>В 2023 году к административной ответственности привлечены 2 177 лиц: из них назначено наказание в виде административного штрафа – 1 301 лицу; в виде ареста – 523 лицам, административное выдворение (как дополнитель</w:t>
      </w:r>
      <w:r>
        <w:rPr>
          <w:highlight w:val="white"/>
        </w:rPr>
        <w:t>ная мера наказания) – 6 лицам, лишение специального права, предоставленного физическому лицу (как дополнительная мера наказания) – 2 лицам.</w:t>
      </w:r>
    </w:p>
    <w:p w:rsidR="00DC1467" w:rsidRDefault="00B70D3E">
      <w:pPr>
        <w:spacing w:line="276" w:lineRule="auto"/>
        <w:ind w:firstLine="708"/>
        <w:rPr>
          <w:sz w:val="26"/>
          <w:szCs w:val="26"/>
          <w:highlight w:val="white"/>
        </w:rPr>
      </w:pPr>
      <w:r>
        <w:rPr>
          <w:highlight w:val="white"/>
        </w:rPr>
        <w:t xml:space="preserve">В 2024 к административной ответственности привлечены 2 047 лиц: из них назначено наказание в виде административного </w:t>
      </w:r>
      <w:r>
        <w:rPr>
          <w:highlight w:val="white"/>
        </w:rPr>
        <w:t>штрафа – 1 457 лицам; в виде ареста – 588 лицам, административное выдворение (как дополнительная мера наказания) – 18 лицам. Доля от общего количества рассмотренных дел об административных правонарушениях в 2024 году составляет 1,8%.</w:t>
      </w:r>
    </w:p>
    <w:p w:rsidR="00DC1467" w:rsidRDefault="00B70D3E">
      <w:pPr>
        <w:spacing w:line="276" w:lineRule="auto"/>
        <w:ind w:firstLine="709"/>
        <w:rPr>
          <w:sz w:val="26"/>
          <w:szCs w:val="26"/>
          <w:highlight w:val="white"/>
        </w:rPr>
      </w:pPr>
      <w:r>
        <w:rPr>
          <w:highlight w:val="white"/>
        </w:rPr>
        <w:t>Судьями автономного ок</w:t>
      </w:r>
      <w:r>
        <w:rPr>
          <w:highlight w:val="white"/>
        </w:rPr>
        <w:t>руга возложена обязанность прохождения диагностики, профилактических мероприятий, лечения, медицинской реабилитации и (или) социальную реабилитации 351 лицу (в 2023 году – 391 лицу).</w:t>
      </w:r>
    </w:p>
    <w:p w:rsidR="00DC1467" w:rsidRDefault="00B70D3E">
      <w:pPr>
        <w:spacing w:line="276" w:lineRule="auto"/>
        <w:ind w:firstLine="709"/>
        <w:rPr>
          <w:sz w:val="26"/>
          <w:szCs w:val="26"/>
          <w:highlight w:val="white"/>
        </w:rPr>
      </w:pPr>
      <w:r>
        <w:rPr>
          <w:highlight w:val="white"/>
        </w:rPr>
        <w:t xml:space="preserve">Сумма наложенных штрафов в 2023 году составила более 5,5 млн. руб. Суммы </w:t>
      </w:r>
      <w:r>
        <w:rPr>
          <w:highlight w:val="white"/>
        </w:rPr>
        <w:t>штрафов, взысканные принудительно и уплаченные добровольно по судебным решениям, вступившим в законную силу в текущем и предшествующих отчетных периодах, составила более 2,5 млн. рублей. В 2024 году данные показатели несколько увеличились – 6,5 млн. рублей</w:t>
      </w:r>
      <w:r>
        <w:rPr>
          <w:highlight w:val="white"/>
        </w:rPr>
        <w:t xml:space="preserve"> и 2,8 млн. рублей соответственно.</w:t>
      </w:r>
    </w:p>
    <w:p w:rsidR="00DC1467" w:rsidRDefault="00B70D3E">
      <w:pPr>
        <w:spacing w:line="276" w:lineRule="auto"/>
        <w:ind w:firstLine="709"/>
        <w:rPr>
          <w:highlight w:val="white"/>
        </w:rPr>
      </w:pPr>
      <w:r>
        <w:rPr>
          <w:highlight w:val="white"/>
        </w:rPr>
        <w:t>Основную долю дел по административным правонарушениям, связанным с незаконным оборотом наркотиков, составляют дела по статье 6.9 КоАП «Потребление наркотических средств или психотропных веществ без назначения врача либо новых потенциально опасных психоакти</w:t>
      </w:r>
      <w:r>
        <w:rPr>
          <w:highlight w:val="white"/>
        </w:rPr>
        <w:t>вных веществ» – 81,9% (1 972 дела).</w:t>
      </w:r>
    </w:p>
    <w:p w:rsidR="00DC1467" w:rsidRDefault="00B70D3E">
      <w:pPr>
        <w:spacing w:line="276" w:lineRule="auto"/>
        <w:ind w:firstLine="709"/>
      </w:pPr>
      <w:r>
        <w:t>Одним из приоритетных направлений деятельности органов внутренних дел автономного округа остается сокращение спроса на наркотики, путем проведения мероприятий, направленных на профилактику девиантного поведения в подрост</w:t>
      </w:r>
      <w:r>
        <w:t>ковой среде, предупреждение и пресечение правонарушений, совершаемых несовершеннолетними, а также организации информационно-разъяснительной работы с населением, о вреде потребления алкоголя, наркотических средств и психотропных веществ.</w:t>
      </w:r>
    </w:p>
    <w:p w:rsidR="00DC1467" w:rsidRDefault="00DC1467">
      <w:pPr>
        <w:spacing w:line="276" w:lineRule="auto"/>
        <w:ind w:firstLine="709"/>
        <w:rPr>
          <w:highlight w:val="yellow"/>
        </w:rPr>
      </w:pPr>
    </w:p>
    <w:p w:rsidR="00DC1467" w:rsidRDefault="00DC1467">
      <w:pPr>
        <w:spacing w:line="276" w:lineRule="auto"/>
        <w:ind w:firstLine="709"/>
        <w:outlineLvl w:val="1"/>
        <w:rPr>
          <w:b/>
          <w:highlight w:val="yellow"/>
        </w:rPr>
        <w:sectPr w:rsidR="00DC1467">
          <w:pgSz w:w="11906" w:h="16838"/>
          <w:pgMar w:top="1134" w:right="851" w:bottom="1134" w:left="1701" w:header="709" w:footer="709" w:gutter="0"/>
          <w:cols w:space="708"/>
          <w:docGrid w:linePitch="360"/>
        </w:sectPr>
      </w:pPr>
    </w:p>
    <w:p w:rsidR="00DC1467" w:rsidRDefault="00B70D3E">
      <w:pPr>
        <w:spacing w:line="281" w:lineRule="auto"/>
        <w:ind w:firstLine="709"/>
        <w:outlineLvl w:val="1"/>
        <w:rPr>
          <w:b/>
        </w:rPr>
      </w:pPr>
      <w:r>
        <w:rPr>
          <w:b/>
        </w:rPr>
        <w:t xml:space="preserve">6. Оценка результатов реализации государственных программ (подпрограмм) </w:t>
      </w:r>
      <w:r>
        <w:rPr>
          <w:b/>
          <w:highlight w:val="white"/>
        </w:rPr>
        <w:t>Ханты-Мансийского автономного округа – Югры</w:t>
      </w:r>
      <w:r>
        <w:rPr>
          <w:b/>
        </w:rPr>
        <w:t>, в рамках которых осуществляются антинаркотические мероприятия</w:t>
      </w:r>
    </w:p>
    <w:p w:rsidR="00DC1467" w:rsidRDefault="00DC1467">
      <w:pPr>
        <w:spacing w:line="281" w:lineRule="auto"/>
        <w:ind w:firstLine="709"/>
        <w:outlineLvl w:val="1"/>
        <w:rPr>
          <w:b/>
        </w:rPr>
      </w:pPr>
    </w:p>
    <w:p w:rsidR="00DC1467" w:rsidRDefault="00B70D3E">
      <w:pPr>
        <w:spacing w:line="281" w:lineRule="auto"/>
        <w:ind w:firstLine="709"/>
        <w:outlineLvl w:val="1"/>
        <w:rPr>
          <w:b/>
          <w:highlight w:val="white"/>
        </w:rPr>
      </w:pPr>
      <w:r>
        <w:rPr>
          <w:bCs/>
          <w:highlight w:val="white"/>
        </w:rPr>
        <w:t xml:space="preserve">В 2024 году на территории региона действовали следующие </w:t>
      </w:r>
      <w:r>
        <w:rPr>
          <w:b/>
          <w:bCs/>
          <w:i/>
          <w:highlight w:val="white"/>
        </w:rPr>
        <w:t>государственные прог</w:t>
      </w:r>
      <w:r>
        <w:rPr>
          <w:b/>
          <w:bCs/>
          <w:i/>
          <w:highlight w:val="white"/>
        </w:rPr>
        <w:t xml:space="preserve">раммы </w:t>
      </w:r>
      <w:r>
        <w:rPr>
          <w:b/>
          <w:i/>
          <w:highlight w:val="white"/>
        </w:rPr>
        <w:t xml:space="preserve">Ханты-Мансийского автономного </w:t>
      </w:r>
      <w:r>
        <w:rPr>
          <w:b/>
          <w:i/>
          <w:highlight w:val="white"/>
        </w:rPr>
        <w:br/>
        <w:t xml:space="preserve">округа – Югры </w:t>
      </w:r>
      <w:r>
        <w:rPr>
          <w:highlight w:val="white"/>
        </w:rPr>
        <w:t>(далее также – Программы), в рамках которых осуществляются антинаркотические мероприятия</w:t>
      </w:r>
      <w:r>
        <w:rPr>
          <w:bCs/>
          <w:highlight w:val="white"/>
        </w:rPr>
        <w:t>:</w:t>
      </w:r>
    </w:p>
    <w:p w:rsidR="00DC1467" w:rsidRDefault="00B70D3E">
      <w:pPr>
        <w:widowControl w:val="0"/>
        <w:spacing w:line="278" w:lineRule="auto"/>
        <w:ind w:firstLine="709"/>
        <w:rPr>
          <w:highlight w:val="white"/>
        </w:rPr>
      </w:pPr>
      <w:r>
        <w:rPr>
          <w:highlight w:val="white"/>
        </w:rPr>
        <w:t xml:space="preserve">1) Постановление Правительства Ханты-Мансийского автономного </w:t>
      </w:r>
      <w:r>
        <w:rPr>
          <w:highlight w:val="white"/>
        </w:rPr>
        <w:br/>
        <w:t>округа – Югры от 10.11.2023 № 543-п «О государственно</w:t>
      </w:r>
      <w:r>
        <w:rPr>
          <w:highlight w:val="white"/>
        </w:rPr>
        <w:t xml:space="preserve">й программе </w:t>
      </w:r>
      <w:r>
        <w:rPr>
          <w:highlight w:val="white"/>
        </w:rPr>
        <w:br/>
        <w:t>Ханты-Мансийского автономного округа – Югры «</w:t>
      </w:r>
      <w:r>
        <w:rPr>
          <w:i/>
          <w:highlight w:val="white"/>
        </w:rPr>
        <w:t>Безопасность жизнедеятельности и профилактика правонарушений</w:t>
      </w:r>
      <w:r>
        <w:rPr>
          <w:highlight w:val="white"/>
        </w:rPr>
        <w:t>».</w:t>
      </w:r>
    </w:p>
    <w:p w:rsidR="00DC1467" w:rsidRDefault="00B70D3E">
      <w:pPr>
        <w:widowControl w:val="0"/>
        <w:spacing w:line="281" w:lineRule="auto"/>
        <w:ind w:firstLine="709"/>
        <w:rPr>
          <w:highlight w:val="white"/>
        </w:rPr>
      </w:pPr>
      <w:r>
        <w:rPr>
          <w:highlight w:val="white"/>
        </w:rPr>
        <w:t xml:space="preserve">Ответственный исполнитель государственной </w:t>
      </w:r>
      <w:r>
        <w:rPr>
          <w:highlight w:val="white"/>
        </w:rPr>
        <w:br/>
        <w:t>программы – Департамент региональной безопасности Ханты-Мансийского автономного округа – Югр</w:t>
      </w:r>
      <w:r>
        <w:rPr>
          <w:highlight w:val="white"/>
        </w:rPr>
        <w:t>ы.</w:t>
      </w:r>
    </w:p>
    <w:p w:rsidR="00DC1467" w:rsidRDefault="00B70D3E">
      <w:pPr>
        <w:spacing w:line="281" w:lineRule="auto"/>
        <w:ind w:firstLine="709"/>
        <w:rPr>
          <w:highlight w:val="white"/>
        </w:rPr>
      </w:pPr>
      <w:r>
        <w:rPr>
          <w:highlight w:val="white"/>
        </w:rPr>
        <w:t xml:space="preserve">2) Постановление Правительства Ханты-Мансийского автономного </w:t>
      </w:r>
      <w:r>
        <w:rPr>
          <w:highlight w:val="white"/>
        </w:rPr>
        <w:br/>
        <w:t xml:space="preserve">округа – Югры от 10.11.2023 № 558-п «О государственной программе </w:t>
      </w:r>
      <w:r>
        <w:rPr>
          <w:highlight w:val="white"/>
        </w:rPr>
        <w:br/>
        <w:t xml:space="preserve">Ханты-Мансийского автономного округа – Югры </w:t>
      </w:r>
      <w:r>
        <w:rPr>
          <w:i/>
          <w:highlight w:val="white"/>
        </w:rPr>
        <w:t>«Современное здравоохранение».</w:t>
      </w:r>
    </w:p>
    <w:p w:rsidR="00DC1467" w:rsidRDefault="00B70D3E">
      <w:pPr>
        <w:widowControl w:val="0"/>
        <w:spacing w:line="281" w:lineRule="auto"/>
        <w:ind w:firstLine="709"/>
      </w:pPr>
      <w:r>
        <w:rPr>
          <w:highlight w:val="white"/>
        </w:rPr>
        <w:t>Ответственный исполнитель государственной программ</w:t>
      </w:r>
      <w:r>
        <w:rPr>
          <w:highlight w:val="white"/>
        </w:rPr>
        <w:t>ы – Департамент здравоохранения автономного округа.</w:t>
      </w:r>
    </w:p>
    <w:p w:rsidR="00DC1467" w:rsidRDefault="00B70D3E">
      <w:pPr>
        <w:spacing w:line="281" w:lineRule="auto"/>
        <w:ind w:firstLine="709"/>
        <w:rPr>
          <w:highlight w:val="white"/>
        </w:rPr>
      </w:pPr>
      <w:r>
        <w:rPr>
          <w:highlight w:val="white"/>
        </w:rPr>
        <w:t xml:space="preserve">3) Постановление Правительства Ханты-Мансийского автономного округа – Югры от 10.11.2023 № 550-п «О государственной программе </w:t>
      </w:r>
      <w:r>
        <w:rPr>
          <w:highlight w:val="white"/>
        </w:rPr>
        <w:br/>
        <w:t xml:space="preserve">Ханты-Мансийского автономного округа – Югры </w:t>
      </w:r>
      <w:r>
        <w:rPr>
          <w:i/>
          <w:highlight w:val="white"/>
        </w:rPr>
        <w:t>«Развитие образования»</w:t>
      </w:r>
      <w:r>
        <w:rPr>
          <w:highlight w:val="white"/>
        </w:rPr>
        <w:t>.</w:t>
      </w:r>
    </w:p>
    <w:p w:rsidR="00DC1467" w:rsidRDefault="00B70D3E">
      <w:pPr>
        <w:widowControl w:val="0"/>
        <w:spacing w:line="281" w:lineRule="auto"/>
        <w:ind w:firstLine="709"/>
        <w:rPr>
          <w:highlight w:val="white"/>
        </w:rPr>
      </w:pPr>
      <w:r>
        <w:rPr>
          <w:highlight w:val="white"/>
        </w:rPr>
        <w:t>Ответстве</w:t>
      </w:r>
      <w:r>
        <w:rPr>
          <w:highlight w:val="white"/>
        </w:rPr>
        <w:t>нный исполнитель государственной программы – Департамент образования и науки автономного округа.</w:t>
      </w:r>
    </w:p>
    <w:p w:rsidR="00DC1467" w:rsidRDefault="00B70D3E">
      <w:pPr>
        <w:widowControl w:val="0"/>
        <w:spacing w:line="278" w:lineRule="auto"/>
        <w:ind w:firstLine="709"/>
      </w:pPr>
      <w:r>
        <w:rPr>
          <w:highlight w:val="white"/>
        </w:rPr>
        <w:t>Соисполнитель государственной программы – Департамент здравоохранения автономного округа.</w:t>
      </w:r>
    </w:p>
    <w:p w:rsidR="00DC1467" w:rsidRDefault="00B70D3E">
      <w:pPr>
        <w:widowControl w:val="0"/>
        <w:spacing w:line="278" w:lineRule="auto"/>
        <w:ind w:firstLine="709"/>
        <w:rPr>
          <w:highlight w:val="white"/>
        </w:rPr>
      </w:pPr>
      <w:r>
        <w:t>4) Постановление Правительства Ханты-Мансийского автономного округа –</w:t>
      </w:r>
      <w:r>
        <w:t xml:space="preserve"> Югры от 10.11.2023 № 560-п «О государственной программе </w:t>
      </w:r>
      <w:r>
        <w:br/>
        <w:t xml:space="preserve">Ханты-Мансийского автономного округа – Югры </w:t>
      </w:r>
      <w:r>
        <w:rPr>
          <w:i/>
          <w:iCs/>
        </w:rPr>
        <w:t>«Социальное и демографическое развитие»</w:t>
      </w:r>
      <w:r>
        <w:t xml:space="preserve"> (мероприятие «Предоставление социальных услуг населению автономного округа»).</w:t>
      </w:r>
    </w:p>
    <w:p w:rsidR="00DC1467" w:rsidRDefault="00B70D3E">
      <w:pPr>
        <w:widowControl w:val="0"/>
        <w:spacing w:line="278" w:lineRule="auto"/>
        <w:ind w:firstLine="709"/>
      </w:pPr>
      <w:r>
        <w:rPr>
          <w:highlight w:val="white"/>
        </w:rPr>
        <w:t>Ответственный исполнитель государств</w:t>
      </w:r>
      <w:r>
        <w:rPr>
          <w:highlight w:val="white"/>
        </w:rPr>
        <w:t>енной программы – Департамент социального развития автономного округа</w:t>
      </w:r>
      <w:r>
        <w:t>.</w:t>
      </w:r>
    </w:p>
    <w:p w:rsidR="00DC1467" w:rsidRDefault="00B70D3E">
      <w:pPr>
        <w:ind w:firstLine="709"/>
        <w:rPr>
          <w:i/>
        </w:rPr>
      </w:pPr>
      <w:r>
        <w:rPr>
          <w:i/>
        </w:rPr>
        <w:t>Оценка реализации государственных программ автономного округа, в рамках которых осуществляются антинаркотические мероприятия.</w:t>
      </w:r>
    </w:p>
    <w:p w:rsidR="00DC1467" w:rsidRDefault="00B70D3E">
      <w:pPr>
        <w:spacing w:line="276" w:lineRule="auto"/>
        <w:ind w:firstLine="709"/>
        <w:rPr>
          <w:b/>
          <w:bCs/>
          <w:i/>
          <w:highlight w:val="white"/>
        </w:rPr>
      </w:pPr>
      <w:r>
        <w:rPr>
          <w:highlight w:val="white"/>
        </w:rPr>
        <w:t>В рамках</w:t>
      </w:r>
      <w:r>
        <w:rPr>
          <w:i/>
          <w:highlight w:val="white"/>
        </w:rPr>
        <w:t xml:space="preserve"> </w:t>
      </w:r>
      <w:r>
        <w:rPr>
          <w:b/>
          <w:i/>
          <w:highlight w:val="white"/>
        </w:rPr>
        <w:t>государственной программы Ханты-Мансийского автоно</w:t>
      </w:r>
      <w:r>
        <w:rPr>
          <w:b/>
          <w:i/>
          <w:highlight w:val="white"/>
        </w:rPr>
        <w:t>много округа – Югры «Безопасность жизнедеятельности и профилактика правонарушений</w:t>
      </w:r>
      <w:r>
        <w:rPr>
          <w:color w:val="000000" w:themeColor="text1"/>
          <w:highlight w:val="white"/>
        </w:rPr>
        <w:t xml:space="preserve"> в 2024 году</w:t>
      </w:r>
      <w:r>
        <w:rPr>
          <w:highlight w:val="white"/>
        </w:rPr>
        <w:t xml:space="preserve"> по комплексу процессных мероприятий «Профилактика незаконного оборота и потребления наркотических средств и психотропных веществ» реализованы мероприятия по проти</w:t>
      </w:r>
      <w:r>
        <w:rPr>
          <w:highlight w:val="white"/>
        </w:rPr>
        <w:t>водействию злоупотреблению наркотиками и их незаконному обороту с объемом бюджетных ассигнований 19 271,20 тыс. рублей.</w:t>
      </w:r>
    </w:p>
    <w:p w:rsidR="00DC1467" w:rsidRDefault="00B70D3E">
      <w:pPr>
        <w:spacing w:line="276" w:lineRule="auto"/>
        <w:ind w:firstLine="709"/>
      </w:pPr>
      <w:r>
        <w:rPr>
          <w:szCs w:val="20"/>
        </w:rPr>
        <w:t>Осуществлено обновление методического обеспечения для анализа биологических объектов, включающего библиотеки масс-спектров с временами х</w:t>
      </w:r>
      <w:r>
        <w:rPr>
          <w:szCs w:val="20"/>
        </w:rPr>
        <w:t xml:space="preserve">роматографического удержания, с использованием газового хроматографа с масс-селективным детектором в количестве 6 ед. и высокоэффективного жидкостного хроматографа с тандемным масс-спектрометрическим детектором в количестве 1 ед. в пяти специализированных </w:t>
      </w:r>
      <w:r>
        <w:rPr>
          <w:szCs w:val="20"/>
        </w:rPr>
        <w:t>психоневрологических больницах автономного округа; приобретено медицинское оборудование (анализатор для фотофиксации и анализа иммунохроматоргафических экспресс-тестов «АМ-900») в количестве 2 ед., приобретены: реагенты и системы для раннего выявления нарк</w:t>
      </w:r>
      <w:r>
        <w:rPr>
          <w:szCs w:val="20"/>
        </w:rPr>
        <w:t>отических и психотропных веществ в количестве 1682 ед., приобретены реагенты диагностические, для лиц, находящихся под надзором системы исполнения наказания в количестве 250 ед.</w:t>
      </w:r>
    </w:p>
    <w:p w:rsidR="00DC1467" w:rsidRDefault="00B70D3E">
      <w:pPr>
        <w:spacing w:line="276" w:lineRule="auto"/>
        <w:ind w:firstLine="709"/>
      </w:pPr>
      <w:r>
        <w:rPr>
          <w:szCs w:val="20"/>
        </w:rPr>
        <w:t xml:space="preserve">В рамках </w:t>
      </w:r>
      <w:r>
        <w:rPr>
          <w:b/>
          <w:bCs/>
          <w:i/>
          <w:iCs/>
        </w:rPr>
        <w:t>государственной программы автономного округа «Социальное и демографич</w:t>
      </w:r>
      <w:r>
        <w:rPr>
          <w:b/>
          <w:bCs/>
          <w:i/>
          <w:iCs/>
        </w:rPr>
        <w:t>еское развитие»</w:t>
      </w:r>
      <w:r>
        <w:rPr>
          <w:szCs w:val="20"/>
        </w:rPr>
        <w:t xml:space="preserve">. </w:t>
      </w:r>
      <w:r>
        <w:t>в 2024 году объем бюджетных ассигнований составил 15 854,4 тыс. рублей</w:t>
      </w:r>
      <w:r>
        <w:rPr>
          <w:szCs w:val="20"/>
        </w:rPr>
        <w:t>.</w:t>
      </w:r>
    </w:p>
    <w:p w:rsidR="00DC1467" w:rsidRDefault="00B70D3E">
      <w:pPr>
        <w:spacing w:line="276" w:lineRule="auto"/>
        <w:ind w:firstLine="709"/>
      </w:pPr>
      <w:r>
        <w:rPr>
          <w:szCs w:val="20"/>
        </w:rPr>
        <w:t>Мероприятия, направленные на социальную реабилитацию и ресоциализацию лиц, употреблявших наркотические, психотропные и (или) иные токсические вещества и прошедших обсл</w:t>
      </w:r>
      <w:r>
        <w:rPr>
          <w:szCs w:val="20"/>
        </w:rPr>
        <w:t xml:space="preserve">едование и лечение от зависимости, в 2024 году: </w:t>
      </w:r>
    </w:p>
    <w:p w:rsidR="00DC1467" w:rsidRDefault="00B70D3E">
      <w:pPr>
        <w:spacing w:line="276" w:lineRule="auto"/>
        <w:ind w:firstLine="709"/>
      </w:pPr>
      <w:r>
        <w:rPr>
          <w:szCs w:val="20"/>
        </w:rPr>
        <w:t>- выплаты по системе сертификатов на оплату социальных услуг указанной направленности – 4 311,4 тыс.руб.;</w:t>
      </w:r>
    </w:p>
    <w:p w:rsidR="00DC1467" w:rsidRDefault="00B70D3E">
      <w:pPr>
        <w:spacing w:line="276" w:lineRule="auto"/>
        <w:ind w:firstLine="709"/>
      </w:pPr>
      <w:r>
        <w:rPr>
          <w:szCs w:val="20"/>
        </w:rPr>
        <w:t>- компенсация (возмещение) затрат за фактические оказанные социальные услуги – 2 889,3 тыс.рублей;</w:t>
      </w:r>
    </w:p>
    <w:p w:rsidR="00DC1467" w:rsidRDefault="00B70D3E">
      <w:pPr>
        <w:spacing w:line="276" w:lineRule="auto"/>
        <w:ind w:firstLine="709"/>
      </w:pPr>
      <w:r>
        <w:rPr>
          <w:szCs w:val="20"/>
        </w:rPr>
        <w:t xml:space="preserve">- субсидия социально ориентированным некоммерческим организациям на финансовое обеспечение затрат, связанных </w:t>
      </w:r>
      <w:r>
        <w:rPr>
          <w:szCs w:val="20"/>
        </w:rPr>
        <w:br/>
        <w:t xml:space="preserve">с предоставлением социальных услуг в сфере социального обслуживания – </w:t>
      </w:r>
      <w:r>
        <w:rPr>
          <w:szCs w:val="20"/>
        </w:rPr>
        <w:br/>
        <w:t>7 483, 1 тыс.рублей.</w:t>
      </w:r>
    </w:p>
    <w:p w:rsidR="00DC1467" w:rsidRDefault="00B70D3E">
      <w:pPr>
        <w:tabs>
          <w:tab w:val="left" w:pos="6645"/>
        </w:tabs>
        <w:spacing w:line="276" w:lineRule="auto"/>
        <w:ind w:firstLine="709"/>
      </w:pPr>
      <w:r>
        <w:t>В рамках</w:t>
      </w:r>
      <w:r>
        <w:rPr>
          <w:i/>
        </w:rPr>
        <w:t xml:space="preserve"> </w:t>
      </w:r>
      <w:r>
        <w:rPr>
          <w:b/>
          <w:i/>
        </w:rPr>
        <w:t xml:space="preserve">государственной программы автономного округа </w:t>
      </w:r>
      <w:r>
        <w:rPr>
          <w:b/>
          <w:i/>
        </w:rPr>
        <w:t>«Современное здравоохранение»</w:t>
      </w:r>
      <w:r>
        <w:t xml:space="preserve"> в 2024 году объем бюджетных ассигнований составил 6 402,5 тыс. рублей. Заключено государственных контрактов на сумму 6 401,1</w:t>
      </w:r>
      <w:r>
        <w:rPr>
          <w:szCs w:val="20"/>
        </w:rPr>
        <w:t xml:space="preserve"> тыс. рублей</w:t>
      </w:r>
      <w:r>
        <w:t>.</w:t>
      </w:r>
    </w:p>
    <w:p w:rsidR="00DC1467" w:rsidRDefault="00B70D3E">
      <w:pPr>
        <w:ind w:firstLine="709"/>
      </w:pPr>
      <w:r>
        <w:t>В последние годы основополагающ</w:t>
      </w:r>
      <w:r>
        <w:t xml:space="preserve">ее направление в реализации программы в системе здравоохранения автономного округа – это формирование системы раннего выявления потребителей наркотических средств и психотропных веществ, и совершенствование системы медицинской профилактики злоупотребления </w:t>
      </w:r>
      <w:r>
        <w:t>психоактивными веществами.</w:t>
      </w:r>
    </w:p>
    <w:p w:rsidR="00DC1467" w:rsidRDefault="00B70D3E">
      <w:pPr>
        <w:tabs>
          <w:tab w:val="left" w:pos="6645"/>
        </w:tabs>
        <w:ind w:firstLine="709"/>
      </w:pPr>
      <w:r>
        <w:t xml:space="preserve">В рамках комплекса процессных мероприятий «Организация оказания медицинской помощи населению Ханты-Мансийского автономного </w:t>
      </w:r>
      <w:r>
        <w:br/>
        <w:t>округа – Югры» реализуется мероприятие по противодействию злоупотреблению наркотиками и их незаконному об</w:t>
      </w:r>
      <w:r>
        <w:t xml:space="preserve">ороту, запланировано финансовых средств 1 280,0 тыс. руб., исполнено 100,0% (1 279,93 тыс. руб.). </w:t>
      </w:r>
    </w:p>
    <w:p w:rsidR="00DC1467" w:rsidRDefault="00B70D3E">
      <w:pPr>
        <w:ind w:firstLine="709"/>
      </w:pPr>
      <w:r>
        <w:rPr>
          <w:szCs w:val="20"/>
        </w:rPr>
        <w:t xml:space="preserve">Приобретены реагенты медицинские диагностические (тест-панели на определение «катинонов» в моче) в количестве 1 290 шт. </w:t>
      </w:r>
      <w:r>
        <w:t>для проведения экспертных исследовани</w:t>
      </w:r>
      <w:r>
        <w:t xml:space="preserve">й в области определения состояний опьянения у лиц, употребивших психоактивные вещества; медицинский расходный материал для проведения химико-токсикологических исследований в количестве </w:t>
      </w:r>
      <w:r>
        <w:br/>
        <w:t>30 032 усл. ед.</w:t>
      </w:r>
    </w:p>
    <w:p w:rsidR="00DC1467" w:rsidRDefault="00B70D3E">
      <w:pPr>
        <w:tabs>
          <w:tab w:val="left" w:pos="6645"/>
        </w:tabs>
        <w:ind w:firstLine="709"/>
      </w:pPr>
      <w:r>
        <w:t xml:space="preserve">Комплекс процессных мероприятий «Создание условий для </w:t>
      </w:r>
      <w:r>
        <w:t>оказания медицинской помощи населению. Укрепление и модернизация материально-технической базы медицинских организаций», запланировано финансовых средств 5 122,5 тыс. руб., исполнено 100,0 % (5 121,16 тыс. руб.).</w:t>
      </w:r>
    </w:p>
    <w:p w:rsidR="00DC1467" w:rsidRDefault="00B70D3E">
      <w:pPr>
        <w:tabs>
          <w:tab w:val="left" w:pos="6645"/>
        </w:tabs>
        <w:ind w:firstLine="709"/>
      </w:pPr>
      <w:r>
        <w:t>Приобретено медицинское оборудование: Анализ</w:t>
      </w:r>
      <w:r>
        <w:t>атор паров этанола в выдыхаемом воздухе «Tigon» в количестве 15 шт., Портативный электрокардиограф в количестве 4 шт., Дефибриллятор в количестве 2 шт., Центрифуга лабораторная в количестве 1 шт., Шкаф вытяжной в количестве 1 шт.; химические реактивы для м</w:t>
      </w:r>
      <w:r>
        <w:t xml:space="preserve">едицинского применения в количестве </w:t>
      </w:r>
      <w:r>
        <w:br/>
        <w:t>45 шт., расходный материал для медицинского применения для проведения химико-токсикологических исследований в количестве 67 усл. ед., медицинский расходный материал к техническому средству измерения количественного опре</w:t>
      </w:r>
      <w:r>
        <w:t>деления алкоголя в выдыхаемом воздухе (мундштук одноразовый, совместимый с техническим средством измерения количественного определения алкоголя в выдыхаемом воздухе) в количестве</w:t>
      </w:r>
      <w:r>
        <w:rPr>
          <w:szCs w:val="20"/>
        </w:rPr>
        <w:t xml:space="preserve"> 41 100 шт.,</w:t>
      </w:r>
      <w:r>
        <w:t xml:space="preserve"> комплектующие и запасные части к медицинскому оборудованию (для п</w:t>
      </w:r>
      <w:r>
        <w:t xml:space="preserve">роведения химико-токсикологических исследований) в количестве </w:t>
      </w:r>
      <w:r>
        <w:br/>
        <w:t>43 усл. ед.</w:t>
      </w:r>
    </w:p>
    <w:p w:rsidR="00DC1467" w:rsidRDefault="00B70D3E">
      <w:pPr>
        <w:tabs>
          <w:tab w:val="left" w:pos="6645"/>
        </w:tabs>
        <w:ind w:firstLine="709"/>
      </w:pPr>
      <w:r>
        <w:t xml:space="preserve">Проводимые мероприятия позволяют обеспечить на должном уровне систему оказания медицинской помощи по профилю «психиатрия-наркология» в соответствие с порядками оказания медицинской </w:t>
      </w:r>
      <w:r>
        <w:t>помощи по указанному профилю, медицинскими стандартами и клиническими рекомендациями по оказанию наркологической помощи, а также формировать систему раннего выявления потребителей наркотических средств и психотропных веществ с учетом современных требований</w:t>
      </w:r>
      <w:r>
        <w:t xml:space="preserve"> и веяний.</w:t>
      </w:r>
    </w:p>
    <w:p w:rsidR="00DC1467" w:rsidRDefault="00B70D3E">
      <w:pPr>
        <w:ind w:firstLine="709"/>
      </w:pPr>
      <w:r>
        <w:t xml:space="preserve">В рамках реализации </w:t>
      </w:r>
      <w:r>
        <w:rPr>
          <w:b/>
          <w:bCs/>
          <w:i/>
          <w:iCs/>
        </w:rPr>
        <w:t xml:space="preserve">государственной программы </w:t>
      </w:r>
      <w:r>
        <w:rPr>
          <w:b/>
          <w:bCs/>
          <w:i/>
          <w:iCs/>
        </w:rPr>
        <w:br/>
        <w:t>Ханты-Мансийского автономного округа – Югры</w:t>
      </w:r>
      <w:r>
        <w:rPr>
          <w:b/>
          <w:i/>
        </w:rPr>
        <w:t xml:space="preserve"> «Развитие образования»</w:t>
      </w:r>
      <w:r>
        <w:t xml:space="preserve"> в 2024 году объем бюджетных ассигнований составил 2000,0 тыс. рублей. Заключено контрактов на сумму 1 999,99 тыс. рублей. </w:t>
      </w:r>
    </w:p>
    <w:p w:rsidR="00DC1467" w:rsidRDefault="00B70D3E">
      <w:pPr>
        <w:tabs>
          <w:tab w:val="left" w:pos="6645"/>
        </w:tabs>
        <w:ind w:firstLine="709"/>
      </w:pPr>
      <w:r>
        <w:t>Комплекс</w:t>
      </w:r>
      <w:r>
        <w:t xml:space="preserve"> процессных мероприятий «Содействие развитию дополнительного образования детей, воспитания», реализуется мероприятие по противодействию злоупотреблению наркотиками и их незаконному обороту, запланировано финансовых средств 2000,00 тыс. руб., исполнено 100,</w:t>
      </w:r>
      <w:r>
        <w:t>0% (1 999,99 тыс. руб.).</w:t>
      </w:r>
    </w:p>
    <w:p w:rsidR="00DC1467" w:rsidRDefault="00B70D3E">
      <w:pPr>
        <w:ind w:firstLine="709"/>
      </w:pPr>
      <w:r>
        <w:t xml:space="preserve">Приобретены расходные материалы для системы капиллярного электрофореза многофункциональной </w:t>
      </w:r>
      <w:r>
        <w:rPr>
          <w:lang w:val="en-US"/>
        </w:rPr>
        <w:t>MiniCap</w:t>
      </w:r>
      <w:r>
        <w:t xml:space="preserve"> в количестве 2 наборов, </w:t>
      </w:r>
      <w:r>
        <w:rPr>
          <w:szCs w:val="20"/>
        </w:rPr>
        <w:t>реагенты медицинские диагностические (</w:t>
      </w:r>
      <w:r>
        <w:t>тест-панели для выявления наркотических веществ) в количестве 1452 ед.</w:t>
      </w:r>
      <w:r>
        <w:t xml:space="preserve">, реагенты диагностические на определение антигенов к ВИЧ/гепатитам В и С в количестве 32 наборов. </w:t>
      </w:r>
    </w:p>
    <w:p w:rsidR="00DC1467" w:rsidRDefault="00B70D3E">
      <w:pPr>
        <w:spacing w:line="276" w:lineRule="auto"/>
        <w:ind w:firstLine="709"/>
      </w:pPr>
      <w:r>
        <w:rPr>
          <w:i/>
        </w:rPr>
        <w:t xml:space="preserve">Оценка реализации государственных программ автономного округа, в рамках которых осуществляются антинаркотические мероприятия, по направлению деятельности </w:t>
      </w:r>
      <w:r>
        <w:rPr>
          <w:rFonts w:eastAsia="Arial Unicode MS"/>
          <w:i/>
          <w:lang w:bidi="ru-RU"/>
        </w:rPr>
        <w:t>Де</w:t>
      </w:r>
      <w:r>
        <w:rPr>
          <w:rFonts w:eastAsia="Arial Unicode MS"/>
          <w:i/>
          <w:lang w:bidi="ru-RU"/>
        </w:rPr>
        <w:t>партамента культуры Ханты-Мансийского автономного округа – Югры.</w:t>
      </w:r>
      <w:r>
        <w:rPr>
          <w:rFonts w:eastAsia="Arial Unicode MS"/>
          <w:b/>
          <w:i/>
          <w:lang w:bidi="ru-RU"/>
        </w:rPr>
        <w:t xml:space="preserve"> </w:t>
      </w:r>
    </w:p>
    <w:p w:rsidR="00DC1467" w:rsidRDefault="00B70D3E">
      <w:pPr>
        <w:spacing w:line="276" w:lineRule="auto"/>
        <w:ind w:firstLine="709"/>
      </w:pPr>
      <w:r>
        <w:t>Департамент и подведомственные ему учреждения являются соисполнителями по двум пунктам программы «Безопасность жизнедеятельности и профилактика правонарушений»:</w:t>
      </w:r>
    </w:p>
    <w:p w:rsidR="00DC1467" w:rsidRDefault="00B70D3E">
      <w:pPr>
        <w:spacing w:line="276" w:lineRule="auto"/>
        <w:ind w:firstLine="709"/>
      </w:pPr>
      <w:r>
        <w:rPr>
          <w:lang w:val="en-US"/>
        </w:rPr>
        <w:t>I</w:t>
      </w:r>
      <w:r>
        <w:t>. Профилактика незаконного о</w:t>
      </w:r>
      <w:r>
        <w:t>борота и потребления наркотических средств и психотропных веществ:</w:t>
      </w:r>
    </w:p>
    <w:p w:rsidR="00DC1467" w:rsidRDefault="00B70D3E">
      <w:pPr>
        <w:pBdr>
          <w:top w:val="none" w:sz="4" w:space="0" w:color="000000"/>
          <w:left w:val="none" w:sz="4" w:space="0" w:color="000000"/>
          <w:bottom w:val="none" w:sz="4" w:space="0" w:color="000000"/>
          <w:right w:val="none" w:sz="4" w:space="0" w:color="000000"/>
        </w:pBdr>
        <w:spacing w:line="276" w:lineRule="auto"/>
        <w:ind w:firstLine="709"/>
      </w:pPr>
      <w:r>
        <w:t xml:space="preserve">1) 31.05.2024 для жителей и гостей г. Ханты-Мансийска </w:t>
      </w:r>
      <w:r>
        <w:br/>
        <w:t>в Музее геологии, нефти и газа прошел бесплатный фестиваль «Формула здоровья», направленный на укрепление здоровья, повышение обществе</w:t>
      </w:r>
      <w:r>
        <w:t xml:space="preserve">нного значения традиционных семейных ценностей, вовлечение детей и молодежи, а также членов их семей в систематические занятия физической культурой и спортом, совершенствование их досуга. </w:t>
      </w:r>
    </w:p>
    <w:p w:rsidR="00DC1467" w:rsidRDefault="00B70D3E">
      <w:pPr>
        <w:pBdr>
          <w:top w:val="none" w:sz="4" w:space="0" w:color="000000"/>
          <w:left w:val="none" w:sz="4" w:space="0" w:color="000000"/>
          <w:bottom w:val="none" w:sz="4" w:space="0" w:color="000000"/>
          <w:right w:val="none" w:sz="4" w:space="0" w:color="000000"/>
        </w:pBdr>
        <w:spacing w:line="276" w:lineRule="auto"/>
        <w:ind w:firstLine="709"/>
      </w:pPr>
      <w:r>
        <w:t>Для посетителей музея работали больше 10 интерактивных площадок: тв</w:t>
      </w:r>
      <w:r>
        <w:t xml:space="preserve">орческие мастер-классы, занятия с профильными медицинскими специалистами, физкультминутки, зарядки, челленджи, эстафеты, скандинавская ходьба, VR-показы и ещё множество музейных </w:t>
      </w:r>
      <w:r>
        <w:br/>
        <w:t xml:space="preserve">и партнёрских мероприятий в поддержку здорового образа жизни. </w:t>
      </w:r>
      <w:r>
        <w:rPr>
          <w:color w:val="000000"/>
        </w:rPr>
        <w:t>Основная катего</w:t>
      </w:r>
      <w:r>
        <w:rPr>
          <w:color w:val="000000"/>
        </w:rPr>
        <w:t xml:space="preserve">рия участников фестиваля – воспитанники пришкольных лагерей, дети младшего школьного возраста. Количество участников составило </w:t>
      </w:r>
      <w:r>
        <w:rPr>
          <w:color w:val="000000"/>
        </w:rPr>
        <w:br/>
        <w:t xml:space="preserve">510 человек. </w:t>
      </w:r>
    </w:p>
    <w:p w:rsidR="00DC1467" w:rsidRDefault="00B70D3E">
      <w:pPr>
        <w:spacing w:line="276" w:lineRule="auto"/>
        <w:ind w:firstLine="709"/>
      </w:pPr>
      <w:r>
        <w:t xml:space="preserve">2) С октября по декабрь 2024 года в г. Ханты-Мансийске прошли мероприятия культурно-просветительского молодежного </w:t>
      </w:r>
      <w:r>
        <w:t xml:space="preserve">проекта </w:t>
      </w:r>
      <w:r>
        <w:br/>
        <w:t>«Арт-Мол». В рамках мероприятия проведена творческая акция «Рисуя музыку», музыкальная программа «Музыканты против наркотиков», реализован конкурс антинаркотических рисунков среди подростков «Мир без наркотиков», организована творческая лаборатори</w:t>
      </w:r>
      <w:r>
        <w:t xml:space="preserve">я «Молодежь </w:t>
      </w:r>
      <w:r>
        <w:br/>
        <w:t>за здоровое искусство!», выставка «Правое полушарие».</w:t>
      </w:r>
    </w:p>
    <w:p w:rsidR="00DC1467" w:rsidRDefault="00B70D3E">
      <w:pPr>
        <w:spacing w:line="276" w:lineRule="auto"/>
        <w:ind w:firstLine="709"/>
      </w:pPr>
      <w:r>
        <w:t>В рамках творческой лаборатории «Молодежь за здоровое искусство!» была организована запись серии подкастов и проведены специальная музыкальная программа и творческая акция при участии молод</w:t>
      </w:r>
      <w:r>
        <w:t>ых людей. Каждый подкаст помимо интересных фактов о культурных событиях содержит пропаганду здорового образа жизни, а молодые люди, участники проекта, личным примером должны показать преимущества жизни без наркотиков.</w:t>
      </w:r>
    </w:p>
    <w:p w:rsidR="00DC1467" w:rsidRDefault="00B70D3E">
      <w:pPr>
        <w:spacing w:line="276" w:lineRule="auto"/>
        <w:ind w:firstLine="709"/>
      </w:pPr>
      <w:r>
        <w:rPr>
          <w:lang w:val="en-US"/>
        </w:rPr>
        <w:t>II</w:t>
      </w:r>
      <w:r>
        <w:t>. Профилактика безнадзорности и прав</w:t>
      </w:r>
      <w:r>
        <w:t>онарушений несовершеннолетних:</w:t>
      </w:r>
    </w:p>
    <w:p w:rsidR="00DC1467" w:rsidRDefault="00B70D3E">
      <w:pPr>
        <w:spacing w:line="276" w:lineRule="auto"/>
        <w:ind w:firstLine="709"/>
      </w:pPr>
      <w:r>
        <w:t xml:space="preserve">1) 10-11 апреля 2024 года в городах Ханты-Мансийске и Нефтеюганске Государственной библиотекой Югры проведен Фестиваль Детской </w:t>
      </w:r>
      <w:r>
        <w:br/>
        <w:t>и юношеской книги, общий охват составил 1 569 человек. В рамках фестиваля проведена встреча с сов</w:t>
      </w:r>
      <w:r>
        <w:t>ременными детскими писателями (Андрей Усачев и Галина Дядина), организованы книжные выставки, творческие мастер-классы, презентации книг югорских авторов (Анжелики Бивол, сказка «Хрумс!»). Также организован круглый стол на тему: «Семейное чтение – любовь к</w:t>
      </w:r>
      <w:r>
        <w:t xml:space="preserve"> книге», спикерами выступили представители из гг. Челябинска, Нефтеюганска, Сургута, Урая и Мегиона, а также представители библиотек автономного округа.</w:t>
      </w:r>
    </w:p>
    <w:p w:rsidR="00DC1467" w:rsidRDefault="00B70D3E">
      <w:pPr>
        <w:spacing w:line="276" w:lineRule="auto"/>
        <w:ind w:firstLine="709"/>
      </w:pPr>
      <w:r>
        <w:t>Фестиваль играет важную роль в профилактике антиобщественного и противоправного поведения среди несовер</w:t>
      </w:r>
      <w:r>
        <w:t>шеннолетних, способствует нравственному, правовому, эстетическому, патриотическому воспитанию, здоровому образу жизни и помогает формировать гражданскую позицию.</w:t>
      </w:r>
    </w:p>
    <w:p w:rsidR="00DC1467" w:rsidRDefault="00B70D3E">
      <w:pPr>
        <w:spacing w:line="276" w:lineRule="auto"/>
        <w:ind w:firstLine="709"/>
      </w:pPr>
      <w:r>
        <w:t>Организуя такие мероприятия, Государственная библиотека Югры привлекает детей и молодёжь к чте</w:t>
      </w:r>
      <w:r>
        <w:t>нию, расширяет их читательские интересы, рекомендует книги различной тематики и проводит массовые мероприятия, ориентированные на позитивное восприятие окружающего мира, правильные взаимоотношения в семье и выбор в жизни.</w:t>
      </w:r>
    </w:p>
    <w:p w:rsidR="00DC1467" w:rsidRDefault="00B70D3E">
      <w:pPr>
        <w:spacing w:line="276" w:lineRule="auto"/>
        <w:ind w:firstLine="709"/>
      </w:pPr>
      <w:r>
        <w:t>2) Реализован первый модуль проект</w:t>
      </w:r>
      <w:r>
        <w:t xml:space="preserve">а «Педагогическая лаборатория», ориентированный на руководителей школьных театров и педагогов общеобразовательных организаций г. Ханты-Мансийска и Ханты-Мансийского района (реализуется при поддержке автономного учреждения «Институт развития образования»). </w:t>
      </w:r>
      <w:r>
        <w:t xml:space="preserve">Цель проекта заключается в создании сообщества школьных педагогов, которые ведут театральные студии </w:t>
      </w:r>
      <w:r>
        <w:br/>
        <w:t xml:space="preserve">в школах, а также в создании ряда мероприятий, которые приведут </w:t>
      </w:r>
      <w:r>
        <w:br/>
        <w:t>к знакомству с профессией театрального педагога и режиссера. Участниками стали 24 педагога</w:t>
      </w:r>
      <w:r>
        <w:t xml:space="preserve"> из городов Ханты-Мансийска, Мегиона </w:t>
      </w:r>
      <w:r>
        <w:br/>
        <w:t>и Ханты-Мансийского района. Проект коррелируется с задачами нового федерального проекта «Школьный театр» по созданию в каждой школе театральных студий.</w:t>
      </w:r>
    </w:p>
    <w:p w:rsidR="00DC1467" w:rsidRDefault="00B70D3E">
      <w:pPr>
        <w:spacing w:line="276" w:lineRule="auto"/>
        <w:ind w:firstLine="709"/>
      </w:pPr>
      <w:r>
        <w:t xml:space="preserve">В 2025 году «Педагогическая лаборатория» будет посвящена методам </w:t>
      </w:r>
      <w:r>
        <w:t xml:space="preserve">сторителлинга и форум-театра, для этого в столицу автономного округа приедут режиссёр и преподаватель Борис Павлович (г. Санкт-Петербург) </w:t>
      </w:r>
      <w:r>
        <w:br/>
        <w:t>и педагог, конструктор социально ангажированных спектаклей Полина Шатохина (г. Москва). Вместе с Полиной Шатохиной, и</w:t>
      </w:r>
      <w:r>
        <w:t>сследовательницей практик современного театра, создательницей социально ангажированных спектаклей и перформансов, педагоги создают собственный спектакль, зрителями которого станут школьники г. Ханты-Мансийска.</w:t>
      </w:r>
    </w:p>
    <w:p w:rsidR="00DC1467" w:rsidRDefault="00B70D3E">
      <w:pPr>
        <w:spacing w:line="276" w:lineRule="auto"/>
        <w:ind w:firstLine="709"/>
      </w:pPr>
      <w:r>
        <w:t>3) В период с октября по декабрь 2024 года реа</w:t>
      </w:r>
      <w:r>
        <w:t>лизовано культурно-просветительское мероприятие «Вместе с музеем». В план мероприятий входят экскурсии, тематические и творческие занятия, мастер-классы, площадки. Мероприятия направлены на школьную аудиторию (подростков), молодежь и семейную аудиторию и п</w:t>
      </w:r>
      <w:r>
        <w:t xml:space="preserve">озволяют сформировать не только представление об истории и культуре региона, но и активную гражданскую позицию, которая позволит принимать решения и отвечать </w:t>
      </w:r>
      <w:r>
        <w:br/>
        <w:t>за свои поступки. Для реализации мероприятий приобретены расходные материалы (кварцевый песок, ко</w:t>
      </w:r>
      <w:r>
        <w:t xml:space="preserve">нструкторы, пазлы, игровые наборы и т.д.), также заключен контракт на поставку интерактивной столешницы. </w:t>
      </w:r>
    </w:p>
    <w:p w:rsidR="00DC1467" w:rsidRDefault="00B70D3E">
      <w:pPr>
        <w:spacing w:line="276" w:lineRule="auto"/>
        <w:ind w:firstLine="709"/>
      </w:pPr>
      <w:r>
        <w:t>4) На постоянной основе Югорский кинопрокат проводит кинопоказы профилактических фильмов, пропагандирующих здоровый образ жизни, принимал участие в ок</w:t>
      </w:r>
      <w:r>
        <w:t>ружной киноакции «Я выбираю жизнь».</w:t>
      </w:r>
    </w:p>
    <w:p w:rsidR="00DC1467" w:rsidRDefault="00B70D3E">
      <w:pPr>
        <w:spacing w:line="276" w:lineRule="auto"/>
        <w:ind w:firstLine="709"/>
      </w:pPr>
      <w:r>
        <w:t xml:space="preserve">Совместно с Центром общественного здоровья и медицинской профилактики прошли кинолектории и обсуждения фильмов, направленные на формирование здорового образа жизни профилактику вредных привычек. </w:t>
      </w:r>
    </w:p>
    <w:p w:rsidR="00DC1467" w:rsidRDefault="00B70D3E">
      <w:pPr>
        <w:spacing w:line="276" w:lineRule="auto"/>
        <w:ind w:firstLine="709"/>
      </w:pPr>
      <w:r>
        <w:t>На постоянной основе при</w:t>
      </w:r>
      <w:r>
        <w:t>обретаются фильмы, отвечающие национальным интересам общества, для организации показа в автономном округе. По состоянию на 1 декабря 2024 года было направлено в адрес киноплощадок 3 865 фильмокопий, охват зрителей более 190 тыс. человек.</w:t>
      </w:r>
    </w:p>
    <w:p w:rsidR="00DC1467" w:rsidRDefault="00B70D3E">
      <w:pPr>
        <w:spacing w:line="276" w:lineRule="auto"/>
        <w:ind w:firstLine="709"/>
      </w:pPr>
      <w:r>
        <w:t>Ежегодно все учреж</w:t>
      </w:r>
      <w:r>
        <w:t>дения сферы культуры активно принимают участие в проведении месячника антинаркотической направленности.</w:t>
      </w:r>
    </w:p>
    <w:p w:rsidR="00DC1467" w:rsidRDefault="00B70D3E">
      <w:pPr>
        <w:spacing w:line="276" w:lineRule="auto"/>
        <w:ind w:firstLine="709"/>
      </w:pPr>
      <w:r>
        <w:t>В рамках месячника проводятся психологические тренинги, родительские собрания, осуществляется распространение средств наглядной агитации (памятки, листо</w:t>
      </w:r>
      <w:r>
        <w:t xml:space="preserve">вки, буклеты), организуются </w:t>
      </w:r>
      <w:r>
        <w:br/>
        <w:t xml:space="preserve">игры-квесты, викторины, направленные на формирование здорового образа жизни, а также осуществляются мероприятия по устранению </w:t>
      </w:r>
      <w:r>
        <w:br/>
        <w:t>в общедоступных местах надписей, объявлений и ссылок на интернет-ресурсы и мессенджеры, содержащие и</w:t>
      </w:r>
      <w:r>
        <w:t xml:space="preserve">нформацию о продаже наркотических и психотропных веществ. </w:t>
      </w:r>
    </w:p>
    <w:p w:rsidR="00DC1467" w:rsidRDefault="00B70D3E">
      <w:pPr>
        <w:spacing w:line="276" w:lineRule="auto"/>
        <w:ind w:firstLine="709"/>
      </w:pPr>
      <w:r>
        <w:t>На официальных сайтах учреждений культуры автономного округа, страницах в социальной сети «ВКонтакте» размещены посты, материалы антинаркотической направленности.</w:t>
      </w:r>
    </w:p>
    <w:p w:rsidR="00DC1467" w:rsidRDefault="00B70D3E">
      <w:pPr>
        <w:pStyle w:val="ConsPlusTitle"/>
        <w:spacing w:line="276" w:lineRule="auto"/>
        <w:ind w:firstLine="709"/>
        <w:jc w:val="both"/>
        <w:rPr>
          <w:b w:val="0"/>
          <w:bCs w:val="0"/>
        </w:rPr>
      </w:pPr>
      <w:r>
        <w:rPr>
          <w:b w:val="0"/>
          <w:i/>
        </w:rPr>
        <w:t xml:space="preserve">Оценка реализации государственных программ автономного округа, в рамках которых осуществляются антинаркотические мероприятия, по направлению деятельности </w:t>
      </w:r>
      <w:r>
        <w:rPr>
          <w:rFonts w:eastAsia="Arial Unicode MS"/>
          <w:b w:val="0"/>
          <w:i/>
          <w:lang w:bidi="ru-RU"/>
        </w:rPr>
        <w:t xml:space="preserve">Департамента физической культуры и спорта Ханты-Мансийского автономного округа – Югры. </w:t>
      </w:r>
    </w:p>
    <w:p w:rsidR="00DC1467" w:rsidRDefault="00B70D3E">
      <w:pPr>
        <w:pStyle w:val="ConsPlusTitle"/>
        <w:spacing w:line="276" w:lineRule="auto"/>
        <w:ind w:firstLine="709"/>
        <w:jc w:val="both"/>
        <w:rPr>
          <w:b w:val="0"/>
          <w:bCs w:val="0"/>
        </w:rPr>
      </w:pPr>
      <w:r>
        <w:rPr>
          <w:b w:val="0"/>
        </w:rPr>
        <w:t xml:space="preserve">В учреждениях </w:t>
      </w:r>
      <w:r>
        <w:rPr>
          <w:b w:val="0"/>
        </w:rPr>
        <w:t xml:space="preserve">спорта муниципальных образований автономного округа в целях противодействия распространению наркомании в молодежной среде, популяризации здорового образа жизни, привлечения к регулярным занятиям физической культурой и спортом, в 2024 году были реализованы </w:t>
      </w:r>
      <w:r>
        <w:rPr>
          <w:b w:val="0"/>
        </w:rPr>
        <w:t>следующие мероприятия.</w:t>
      </w:r>
    </w:p>
    <w:p w:rsidR="00DC1467" w:rsidRDefault="00B70D3E">
      <w:pPr>
        <w:spacing w:line="276" w:lineRule="auto"/>
        <w:ind w:firstLine="709"/>
        <w:rPr>
          <w:bCs/>
          <w:highlight w:val="white"/>
        </w:rPr>
      </w:pPr>
      <w:r>
        <w:rPr>
          <w:lang w:eastAsia="en-US"/>
        </w:rPr>
        <w:t xml:space="preserve">1) Мероприятия среди детей и молодежи, направленные </w:t>
      </w:r>
      <w:r>
        <w:rPr>
          <w:lang w:eastAsia="en-US"/>
        </w:rPr>
        <w:br/>
        <w:t xml:space="preserve">на формирование у них навыков защиты психологического характера </w:t>
      </w:r>
      <w:r>
        <w:rPr>
          <w:lang w:eastAsia="en-US"/>
        </w:rPr>
        <w:br/>
      </w:r>
      <w:r>
        <w:rPr>
          <w:highlight w:val="white"/>
          <w:lang w:eastAsia="en-US"/>
        </w:rPr>
        <w:t>от возможного вовлечения в антисоциальное времяпровождение.</w:t>
      </w:r>
    </w:p>
    <w:p w:rsidR="00DC1467" w:rsidRDefault="00B70D3E">
      <w:pPr>
        <w:spacing w:line="276" w:lineRule="auto"/>
        <w:ind w:firstLine="709"/>
        <w:rPr>
          <w:highlight w:val="white"/>
        </w:rPr>
      </w:pPr>
      <w:r>
        <w:rPr>
          <w:highlight w:val="white"/>
        </w:rPr>
        <w:t>В рамках проведения профилактических мероприятий по пра</w:t>
      </w:r>
      <w:r>
        <w:rPr>
          <w:highlight w:val="white"/>
        </w:rPr>
        <w:t xml:space="preserve">вовому просвещению и правовому информированию подростков и молодежи,  направленных на профилактику наркомании муниципальными учреждениями спорта на систематической основе проводятся разъяснительные мероприятия (родительские собрания, беседы тренеров </w:t>
      </w:r>
      <w:r>
        <w:rPr>
          <w:highlight w:val="white"/>
        </w:rPr>
        <w:br/>
        <w:t>с нес</w:t>
      </w:r>
      <w:r>
        <w:rPr>
          <w:highlight w:val="white"/>
        </w:rPr>
        <w:t>овершеннолетними и родителями (законными представителями).</w:t>
      </w:r>
    </w:p>
    <w:p w:rsidR="00DC1467" w:rsidRDefault="00B70D3E">
      <w:pPr>
        <w:tabs>
          <w:tab w:val="left" w:pos="851"/>
        </w:tabs>
        <w:spacing w:line="276" w:lineRule="auto"/>
        <w:ind w:firstLine="709"/>
        <w:rPr>
          <w:highlight w:val="white"/>
        </w:rPr>
      </w:pPr>
      <w:r>
        <w:rPr>
          <w:highlight w:val="white"/>
        </w:rPr>
        <w:t>Так например, в г. Нижневартовске</w:t>
      </w:r>
      <w:r>
        <w:rPr>
          <w:highlight w:val="white"/>
          <w:lang w:eastAsia="en-US"/>
        </w:rPr>
        <w:t xml:space="preserve"> при организации и проведении спортивных и физкультурных мероприятий среди участников и зрителей были распространены буклеты</w:t>
      </w:r>
      <w:r>
        <w:rPr>
          <w:highlight w:val="white"/>
        </w:rPr>
        <w:t>:</w:t>
      </w:r>
    </w:p>
    <w:p w:rsidR="00DC1467" w:rsidRDefault="00B70D3E">
      <w:pPr>
        <w:tabs>
          <w:tab w:val="left" w:pos="851"/>
        </w:tabs>
        <w:spacing w:line="276" w:lineRule="auto"/>
        <w:ind w:firstLine="709"/>
        <w:rPr>
          <w:highlight w:val="white"/>
        </w:rPr>
      </w:pPr>
      <w:r>
        <w:rPr>
          <w:highlight w:val="white"/>
        </w:rPr>
        <w:t>«Десять хороших причин сказать нет нар</w:t>
      </w:r>
      <w:r>
        <w:rPr>
          <w:highlight w:val="white"/>
        </w:rPr>
        <w:t xml:space="preserve">котикам» (информация </w:t>
      </w:r>
      <w:r>
        <w:rPr>
          <w:highlight w:val="white"/>
        </w:rPr>
        <w:br/>
        <w:t>о последствиях употребления наркотических веществ) – 200 шт.;</w:t>
      </w:r>
    </w:p>
    <w:p w:rsidR="00DC1467" w:rsidRDefault="00B70D3E">
      <w:pPr>
        <w:pBdr>
          <w:top w:val="none" w:sz="4" w:space="0" w:color="000000"/>
          <w:left w:val="none" w:sz="4" w:space="0" w:color="000000"/>
          <w:bottom w:val="none" w:sz="4" w:space="0" w:color="000000"/>
          <w:right w:val="none" w:sz="4" w:space="0" w:color="000000"/>
        </w:pBdr>
        <w:tabs>
          <w:tab w:val="left" w:pos="851"/>
        </w:tabs>
        <w:spacing w:line="276" w:lineRule="auto"/>
        <w:ind w:firstLine="709"/>
        <w:rPr>
          <w:highlight w:val="white"/>
        </w:rPr>
      </w:pPr>
      <w:r>
        <w:rPr>
          <w:highlight w:val="white"/>
        </w:rPr>
        <w:t>«Когда вы откажитесь от сигарет» (информация о последствиях употребления табака) –350 шт.;</w:t>
      </w:r>
    </w:p>
    <w:p w:rsidR="00DC1467" w:rsidRDefault="00B70D3E">
      <w:pPr>
        <w:pBdr>
          <w:top w:val="none" w:sz="4" w:space="0" w:color="000000"/>
          <w:left w:val="none" w:sz="4" w:space="0" w:color="000000"/>
          <w:bottom w:val="none" w:sz="4" w:space="0" w:color="000000"/>
          <w:right w:val="none" w:sz="4" w:space="0" w:color="000000"/>
        </w:pBdr>
        <w:tabs>
          <w:tab w:val="left" w:pos="851"/>
        </w:tabs>
        <w:spacing w:line="276" w:lineRule="auto"/>
        <w:ind w:firstLine="709"/>
        <w:rPr>
          <w:highlight w:val="white"/>
        </w:rPr>
      </w:pPr>
      <w:r>
        <w:rPr>
          <w:highlight w:val="white"/>
        </w:rPr>
        <w:t>«Пивной алкоголизм» (информация о профилактике негативных явлений) – 100 шт.;</w:t>
      </w:r>
    </w:p>
    <w:p w:rsidR="00DC1467" w:rsidRDefault="00B70D3E">
      <w:pPr>
        <w:pBdr>
          <w:top w:val="none" w:sz="4" w:space="0" w:color="000000"/>
          <w:left w:val="none" w:sz="4" w:space="0" w:color="000000"/>
          <w:bottom w:val="none" w:sz="4" w:space="0" w:color="000000"/>
          <w:right w:val="none" w:sz="4" w:space="0" w:color="000000"/>
        </w:pBdr>
        <w:tabs>
          <w:tab w:val="left" w:pos="851"/>
        </w:tabs>
        <w:spacing w:line="276" w:lineRule="auto"/>
        <w:ind w:firstLine="709"/>
        <w:rPr>
          <w:highlight w:val="white"/>
        </w:rPr>
      </w:pPr>
      <w:r>
        <w:rPr>
          <w:highlight w:val="white"/>
        </w:rPr>
        <w:tab/>
        <w:t>«М</w:t>
      </w:r>
      <w:r>
        <w:rPr>
          <w:highlight w:val="white"/>
        </w:rPr>
        <w:t xml:space="preserve">олодежь против спида и наркотиков» (информация </w:t>
      </w:r>
      <w:r>
        <w:rPr>
          <w:highlight w:val="white"/>
        </w:rPr>
        <w:br/>
        <w:t>о профилактике негативных явлений) – 370 шт.;</w:t>
      </w:r>
    </w:p>
    <w:p w:rsidR="00DC1467" w:rsidRDefault="00B70D3E">
      <w:pPr>
        <w:pBdr>
          <w:top w:val="none" w:sz="4" w:space="0" w:color="000000"/>
          <w:left w:val="none" w:sz="4" w:space="0" w:color="000000"/>
          <w:bottom w:val="none" w:sz="4" w:space="0" w:color="000000"/>
          <w:right w:val="none" w:sz="4" w:space="0" w:color="000000"/>
        </w:pBdr>
        <w:tabs>
          <w:tab w:val="left" w:pos="851"/>
        </w:tabs>
        <w:spacing w:line="276" w:lineRule="auto"/>
        <w:ind w:firstLine="709"/>
        <w:rPr>
          <w:highlight w:val="white"/>
        </w:rPr>
      </w:pPr>
      <w:r>
        <w:rPr>
          <w:highlight w:val="white"/>
        </w:rPr>
        <w:t>«Молодежь - за моду на здоровье» (информация о пропаганде спорта и формировании привычек здорового образа жизни) – 370 шт.</w:t>
      </w:r>
    </w:p>
    <w:p w:rsidR="00DC1467" w:rsidRDefault="00B70D3E">
      <w:pPr>
        <w:pStyle w:val="Default"/>
        <w:spacing w:line="276" w:lineRule="auto"/>
        <w:ind w:firstLine="709"/>
        <w:jc w:val="both"/>
        <w:rPr>
          <w:sz w:val="28"/>
          <w:szCs w:val="28"/>
          <w:highlight w:val="white"/>
        </w:rPr>
      </w:pPr>
      <w:r>
        <w:rPr>
          <w:color w:val="auto"/>
          <w:sz w:val="28"/>
          <w:szCs w:val="28"/>
          <w:highlight w:val="white"/>
        </w:rPr>
        <w:t>В г. Лангепасе</w:t>
      </w:r>
      <w:r>
        <w:rPr>
          <w:color w:val="auto"/>
          <w:sz w:val="28"/>
          <w:szCs w:val="28"/>
          <w:highlight w:val="white"/>
        </w:rPr>
        <w:t xml:space="preserve"> специалистами проведена разъяснительная работа </w:t>
      </w:r>
      <w:r>
        <w:rPr>
          <w:color w:val="auto"/>
          <w:sz w:val="28"/>
          <w:szCs w:val="28"/>
          <w:highlight w:val="white"/>
        </w:rPr>
        <w:br/>
        <w:t>с несовершеннолетними посредством проведения бесед на тему:</w:t>
      </w:r>
      <w:r>
        <w:rPr>
          <w:sz w:val="28"/>
          <w:szCs w:val="28"/>
          <w:highlight w:val="white"/>
        </w:rPr>
        <w:t xml:space="preserve"> «Профилактика вредных привычек: курение, алкоголь, наркотики», </w:t>
      </w:r>
      <w:r>
        <w:rPr>
          <w:sz w:val="28"/>
          <w:szCs w:val="28"/>
          <w:highlight w:val="white"/>
        </w:rPr>
        <w:br/>
        <w:t>«Как стать независимым»</w:t>
      </w:r>
      <w:r>
        <w:rPr>
          <w:color w:val="auto"/>
          <w:sz w:val="28"/>
          <w:szCs w:val="28"/>
          <w:highlight w:val="white"/>
        </w:rPr>
        <w:t xml:space="preserve">. </w:t>
      </w:r>
    </w:p>
    <w:p w:rsidR="00DC1467" w:rsidRDefault="00B70D3E">
      <w:pPr>
        <w:pStyle w:val="ConsPlusNonformat"/>
        <w:tabs>
          <w:tab w:val="left" w:pos="709"/>
          <w:tab w:val="left" w:pos="851"/>
          <w:tab w:val="left" w:pos="993"/>
        </w:tabs>
        <w:spacing w:line="276" w:lineRule="auto"/>
        <w:ind w:firstLine="709"/>
        <w:jc w:val="both"/>
        <w:rPr>
          <w:rFonts w:ascii="Times New Roman" w:hAnsi="Times New Roman" w:cs="Times New Roman"/>
          <w:sz w:val="28"/>
          <w:szCs w:val="28"/>
          <w:highlight w:val="white"/>
        </w:rPr>
      </w:pPr>
      <w:r>
        <w:rPr>
          <w:rFonts w:ascii="Times New Roman" w:hAnsi="Times New Roman" w:cs="Times New Roman"/>
          <w:sz w:val="28"/>
          <w:szCs w:val="28"/>
          <w:highlight w:val="white"/>
        </w:rPr>
        <w:t>В г. Покачи тренерами-преподавателями ведется просветител</w:t>
      </w:r>
      <w:r>
        <w:rPr>
          <w:rFonts w:ascii="Times New Roman" w:hAnsi="Times New Roman" w:cs="Times New Roman"/>
          <w:sz w:val="28"/>
          <w:szCs w:val="28"/>
          <w:highlight w:val="white"/>
        </w:rPr>
        <w:t xml:space="preserve">ьская работа с родителями, которая включает в себя: родительские собрания «Режим дня спортсмена», «Роль семьи в предупреждении наркомании, табакокурения, токсикомании», «Значение двигательной активности </w:t>
      </w:r>
      <w:r>
        <w:rPr>
          <w:rFonts w:ascii="Times New Roman" w:hAnsi="Times New Roman" w:cs="Times New Roman"/>
          <w:sz w:val="28"/>
          <w:szCs w:val="28"/>
          <w:highlight w:val="white"/>
        </w:rPr>
        <w:br/>
        <w:t>и физической культуры для здоровья», организуются со</w:t>
      </w:r>
      <w:r>
        <w:rPr>
          <w:rFonts w:ascii="Times New Roman" w:hAnsi="Times New Roman" w:cs="Times New Roman"/>
          <w:sz w:val="28"/>
          <w:szCs w:val="28"/>
          <w:highlight w:val="white"/>
        </w:rPr>
        <w:t>вместные мероприятия с родителями «Антидопинговая компания юных спортсменов».</w:t>
      </w:r>
    </w:p>
    <w:p w:rsidR="00DC1467" w:rsidRDefault="00B70D3E">
      <w:pPr>
        <w:shd w:val="clear" w:color="auto" w:fill="FFFFFF"/>
        <w:spacing w:line="276" w:lineRule="auto"/>
        <w:ind w:firstLine="709"/>
        <w:rPr>
          <w:bCs/>
          <w:highlight w:val="white"/>
        </w:rPr>
      </w:pPr>
      <w:r>
        <w:rPr>
          <w:bCs/>
          <w:highlight w:val="white"/>
        </w:rPr>
        <w:t xml:space="preserve">В г. Пыть-Яхе проведены беседы, направленные на разъяснение спортсменам мер наказания за распространение экстремистских идей </w:t>
      </w:r>
      <w:r>
        <w:rPr>
          <w:bCs/>
          <w:highlight w:val="white"/>
        </w:rPr>
        <w:br/>
        <w:t>и терроризма, употребления психотропных веществ, нар</w:t>
      </w:r>
      <w:r>
        <w:rPr>
          <w:bCs/>
          <w:highlight w:val="white"/>
        </w:rPr>
        <w:t xml:space="preserve">котиков, профилактику правонарушений, а также на предупреждение </w:t>
      </w:r>
      <w:r>
        <w:rPr>
          <w:bCs/>
          <w:highlight w:val="white"/>
        </w:rPr>
        <w:br/>
        <w:t xml:space="preserve">и профилактику нарушений правил дорожного движения. </w:t>
      </w:r>
    </w:p>
    <w:p w:rsidR="00DC1467" w:rsidRDefault="00B70D3E">
      <w:pPr>
        <w:shd w:val="clear" w:color="auto" w:fill="FFFFFF"/>
        <w:spacing w:line="276" w:lineRule="auto"/>
        <w:ind w:firstLine="709"/>
        <w:rPr>
          <w:highlight w:val="white"/>
        </w:rPr>
      </w:pPr>
      <w:r>
        <w:rPr>
          <w:bCs/>
          <w:highlight w:val="white"/>
        </w:rPr>
        <w:t xml:space="preserve">В г. Сургуте проведены </w:t>
      </w:r>
      <w:r>
        <w:rPr>
          <w:highlight w:val="white"/>
        </w:rPr>
        <w:t>разъяснительные мероприятия (родительские собрания, беседы тренеров с несовершеннолетними и родителями (законными п</w:t>
      </w:r>
      <w:r>
        <w:rPr>
          <w:highlight w:val="white"/>
        </w:rPr>
        <w:t xml:space="preserve">редставителями), в том числе посредством мессенджеров на темы: «Дорога, ведущая в пропасть», «Опасное погружение», «Выбери здоровый образ жизни», «Зависимость – что это?», «Профилактика алкоголизма, токсикомании, наркомании» и т.п. Охват составил </w:t>
      </w:r>
      <w:r>
        <w:rPr>
          <w:highlight w:val="white"/>
        </w:rPr>
        <w:br/>
        <w:t>6293 чел</w:t>
      </w:r>
      <w:r>
        <w:rPr>
          <w:highlight w:val="white"/>
        </w:rPr>
        <w:t>овека.</w:t>
      </w:r>
    </w:p>
    <w:p w:rsidR="00DC1467" w:rsidRDefault="00B70D3E">
      <w:pPr>
        <w:pStyle w:val="ConsPlusNonformat"/>
        <w:tabs>
          <w:tab w:val="left" w:pos="709"/>
          <w:tab w:val="left" w:pos="851"/>
          <w:tab w:val="left" w:pos="993"/>
        </w:tabs>
        <w:spacing w:line="276" w:lineRule="auto"/>
        <w:ind w:firstLine="709"/>
        <w:jc w:val="both"/>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В г. Ханты-Мансийске проведена беседа с обучающимися муниципальных учреждений спорта на темы: «Правонарушения в подростковой среде и ответственность за них» и «Профилактика наркомании и алкоголизма в подростковой среде». </w:t>
      </w:r>
    </w:p>
    <w:p w:rsidR="00DC1467" w:rsidRDefault="00B70D3E">
      <w:pPr>
        <w:pStyle w:val="ConsPlusNonformat"/>
        <w:tabs>
          <w:tab w:val="left" w:pos="709"/>
          <w:tab w:val="left" w:pos="851"/>
          <w:tab w:val="left" w:pos="993"/>
        </w:tabs>
        <w:spacing w:line="276" w:lineRule="auto"/>
        <w:ind w:firstLine="709"/>
        <w:jc w:val="both"/>
        <w:rPr>
          <w:rFonts w:ascii="Times New Roman" w:hAnsi="Times New Roman" w:cs="Times New Roman"/>
          <w:sz w:val="28"/>
          <w:szCs w:val="28"/>
          <w:highlight w:val="white"/>
        </w:rPr>
      </w:pPr>
      <w:r>
        <w:rPr>
          <w:rFonts w:ascii="Times New Roman" w:eastAsia="Calibri" w:hAnsi="Times New Roman" w:cs="Times New Roman"/>
          <w:sz w:val="28"/>
          <w:szCs w:val="28"/>
          <w:highlight w:val="white"/>
        </w:rPr>
        <w:t xml:space="preserve">В г. Мегионе проведена </w:t>
      </w:r>
      <w:r>
        <w:rPr>
          <w:rFonts w:ascii="Times New Roman" w:hAnsi="Times New Roman" w:cs="Times New Roman"/>
          <w:sz w:val="28"/>
          <w:szCs w:val="28"/>
          <w:highlight w:val="white"/>
        </w:rPr>
        <w:t>разъ</w:t>
      </w:r>
      <w:r>
        <w:rPr>
          <w:rFonts w:ascii="Times New Roman" w:hAnsi="Times New Roman" w:cs="Times New Roman"/>
          <w:sz w:val="28"/>
          <w:szCs w:val="28"/>
          <w:highlight w:val="white"/>
        </w:rPr>
        <w:t xml:space="preserve">яснительная работа с обучающимися и воспитанниками посредством проведения, бесед на тему: «Вред и последствия незаконного потребления наркотиков», «Правда </w:t>
      </w:r>
      <w:r>
        <w:rPr>
          <w:rFonts w:ascii="Times New Roman" w:hAnsi="Times New Roman" w:cs="Times New Roman"/>
          <w:sz w:val="28"/>
          <w:szCs w:val="28"/>
          <w:highlight w:val="white"/>
        </w:rPr>
        <w:br/>
        <w:t>о наркотиках», «Осторожно, наркотики!», «Наркотики – что это?», «Наркотики 21 века», «Портрет нарком</w:t>
      </w:r>
      <w:r>
        <w:rPr>
          <w:rFonts w:ascii="Times New Roman" w:hAnsi="Times New Roman" w:cs="Times New Roman"/>
          <w:sz w:val="28"/>
          <w:szCs w:val="28"/>
          <w:highlight w:val="white"/>
        </w:rPr>
        <w:t xml:space="preserve">ана», «Об административной </w:t>
      </w:r>
      <w:r>
        <w:rPr>
          <w:rFonts w:ascii="Times New Roman" w:hAnsi="Times New Roman" w:cs="Times New Roman"/>
          <w:sz w:val="28"/>
          <w:szCs w:val="28"/>
          <w:highlight w:val="white"/>
        </w:rPr>
        <w:br/>
        <w:t xml:space="preserve">и уголовной ответственности за совершение правонарушений», «Профилактика совершения правонарушений несовершеннолетними </w:t>
      </w:r>
      <w:r>
        <w:rPr>
          <w:rFonts w:ascii="Times New Roman" w:hAnsi="Times New Roman" w:cs="Times New Roman"/>
          <w:sz w:val="28"/>
          <w:szCs w:val="28"/>
          <w:highlight w:val="white"/>
        </w:rPr>
        <w:br/>
        <w:t xml:space="preserve">и правонарушений в отношении них» с раздачей информационного материала, охват составил 2256 человек.  </w:t>
      </w:r>
    </w:p>
    <w:p w:rsidR="00DC1467" w:rsidRDefault="00B70D3E">
      <w:pPr>
        <w:spacing w:line="276" w:lineRule="auto"/>
        <w:ind w:firstLine="709"/>
        <w:rPr>
          <w:bCs/>
          <w:highlight w:val="white"/>
        </w:rPr>
      </w:pPr>
      <w:r>
        <w:rPr>
          <w:highlight w:val="white"/>
        </w:rPr>
        <w:t>2) Ре</w:t>
      </w:r>
      <w:r>
        <w:rPr>
          <w:highlight w:val="white"/>
        </w:rPr>
        <w:t xml:space="preserve">ализация комплекса мер первичной профилактики наркомании </w:t>
      </w:r>
      <w:r>
        <w:rPr>
          <w:highlight w:val="white"/>
        </w:rPr>
        <w:br/>
        <w:t>и формированию здорового образа жизни.</w:t>
      </w:r>
    </w:p>
    <w:p w:rsidR="00DC1467" w:rsidRDefault="00B70D3E">
      <w:pPr>
        <w:pStyle w:val="Default"/>
        <w:spacing w:line="276" w:lineRule="auto"/>
        <w:ind w:firstLine="709"/>
        <w:jc w:val="both"/>
        <w:rPr>
          <w:color w:val="auto"/>
          <w:sz w:val="28"/>
          <w:szCs w:val="28"/>
          <w:highlight w:val="white"/>
        </w:rPr>
      </w:pPr>
      <w:r>
        <w:rPr>
          <w:color w:val="auto"/>
          <w:sz w:val="28"/>
          <w:szCs w:val="28"/>
        </w:rPr>
        <w:t>В</w:t>
      </w:r>
      <w:r>
        <w:rPr>
          <w:color w:val="auto"/>
          <w:sz w:val="28"/>
          <w:szCs w:val="28"/>
          <w:highlight w:val="white"/>
        </w:rPr>
        <w:t xml:space="preserve"> Березовском районе проведена </w:t>
      </w:r>
      <w:r>
        <w:rPr>
          <w:sz w:val="28"/>
          <w:szCs w:val="28"/>
          <w:highlight w:val="white"/>
        </w:rPr>
        <w:t xml:space="preserve">Спартакиада среди лагерей </w:t>
      </w:r>
      <w:r>
        <w:rPr>
          <w:sz w:val="28"/>
          <w:szCs w:val="28"/>
          <w:highlight w:val="white"/>
        </w:rPr>
        <w:br/>
      </w:r>
      <w:r>
        <w:rPr>
          <w:sz w:val="28"/>
          <w:szCs w:val="28"/>
          <w:highlight w:val="white"/>
        </w:rPr>
        <w:t xml:space="preserve">с дневным пребыванием детей «Олимпия» («Футбол», «Перестрелка»), посвящённая «Международному дню борьбы с наркоманией </w:t>
      </w:r>
      <w:r>
        <w:rPr>
          <w:sz w:val="28"/>
          <w:szCs w:val="28"/>
          <w:highlight w:val="white"/>
        </w:rPr>
        <w:br/>
        <w:t>и наркобизнесом»</w:t>
      </w:r>
      <w:r>
        <w:rPr>
          <w:color w:val="auto"/>
          <w:sz w:val="28"/>
          <w:szCs w:val="28"/>
          <w:highlight w:val="white"/>
        </w:rPr>
        <w:t xml:space="preserve">. </w:t>
      </w:r>
    </w:p>
    <w:p w:rsidR="00DC1467" w:rsidRDefault="00B70D3E">
      <w:pPr>
        <w:pStyle w:val="Default"/>
        <w:spacing w:line="276" w:lineRule="auto"/>
        <w:ind w:firstLine="709"/>
        <w:jc w:val="both"/>
        <w:rPr>
          <w:color w:val="auto"/>
          <w:sz w:val="28"/>
          <w:szCs w:val="28"/>
          <w:highlight w:val="white"/>
        </w:rPr>
      </w:pPr>
      <w:r>
        <w:rPr>
          <w:sz w:val="28"/>
          <w:szCs w:val="28"/>
          <w:highlight w:val="white"/>
        </w:rPr>
        <w:t>В г. Лангепасе проведены физкультурно-массовые мероприятия: семейный флешмоб «Мы за здоровый образ жизни»; мероприятие</w:t>
      </w:r>
      <w:r>
        <w:rPr>
          <w:sz w:val="28"/>
          <w:szCs w:val="28"/>
          <w:highlight w:val="white"/>
        </w:rPr>
        <w:t xml:space="preserve"> «Здоровое детство - здоровый Ленгепас» (пионербол);</w:t>
      </w:r>
      <w:r>
        <w:rPr>
          <w:color w:val="auto"/>
          <w:sz w:val="28"/>
          <w:szCs w:val="28"/>
          <w:highlight w:val="white"/>
        </w:rPr>
        <w:t xml:space="preserve"> </w:t>
      </w:r>
      <w:r>
        <w:rPr>
          <w:sz w:val="28"/>
          <w:szCs w:val="28"/>
          <w:highlight w:val="white"/>
        </w:rPr>
        <w:t>«Спорт без допинга»</w:t>
      </w:r>
      <w:r>
        <w:rPr>
          <w:color w:val="auto"/>
          <w:sz w:val="28"/>
          <w:szCs w:val="28"/>
          <w:highlight w:val="white"/>
        </w:rPr>
        <w:t xml:space="preserve">; </w:t>
      </w:r>
      <w:r>
        <w:rPr>
          <w:sz w:val="28"/>
          <w:szCs w:val="28"/>
          <w:highlight w:val="white"/>
        </w:rPr>
        <w:t>«Вместе шагаем к здоровью», охват участников составил более 100 человек.</w:t>
      </w:r>
    </w:p>
    <w:p w:rsidR="00DC1467" w:rsidRDefault="00B70D3E">
      <w:pPr>
        <w:spacing w:line="276" w:lineRule="auto"/>
        <w:ind w:firstLine="709"/>
        <w:rPr>
          <w:bCs/>
          <w:i/>
          <w:highlight w:val="white"/>
        </w:rPr>
      </w:pPr>
      <w:r>
        <w:rPr>
          <w:highlight w:val="white"/>
        </w:rPr>
        <w:t>В г.Нижневартовске на территории м</w:t>
      </w:r>
      <w:bookmarkStart w:id="4" w:name="undefined"/>
      <w:bookmarkEnd w:id="4"/>
      <w:r>
        <w:rPr>
          <w:highlight w:val="white"/>
        </w:rPr>
        <w:t xml:space="preserve">ногофункционального лесного комплекса «ЯГОМ» состоялся фестиваль семейного </w:t>
      </w:r>
      <w:r>
        <w:rPr>
          <w:highlight w:val="white"/>
        </w:rPr>
        <w:t>спорта «Быть здоровым здорово».</w:t>
      </w:r>
    </w:p>
    <w:p w:rsidR="00DC1467" w:rsidRDefault="00B70D3E">
      <w:pPr>
        <w:spacing w:line="276" w:lineRule="auto"/>
        <w:ind w:firstLine="709"/>
        <w:rPr>
          <w:highlight w:val="white"/>
        </w:rPr>
      </w:pPr>
      <w:r>
        <w:rPr>
          <w:highlight w:val="white"/>
        </w:rPr>
        <w:t xml:space="preserve">В г.Сургуте в рамках </w:t>
      </w:r>
      <w:r>
        <w:rPr>
          <w:rStyle w:val="1e"/>
          <w:i w:val="0"/>
          <w:highlight w:val="white"/>
          <w:shd w:val="clear" w:color="auto" w:fill="FFFFFF"/>
        </w:rPr>
        <w:t>муниципальной программы</w:t>
      </w:r>
      <w:r>
        <w:rPr>
          <w:i/>
          <w:highlight w:val="white"/>
          <w:shd w:val="clear" w:color="auto" w:fill="FFFFFF"/>
        </w:rPr>
        <w:t xml:space="preserve"> «</w:t>
      </w:r>
      <w:r>
        <w:rPr>
          <w:rStyle w:val="1e"/>
          <w:i w:val="0"/>
          <w:highlight w:val="white"/>
          <w:shd w:val="clear" w:color="auto" w:fill="FFFFFF"/>
        </w:rPr>
        <w:t xml:space="preserve">Профилактика правонарушений </w:t>
      </w:r>
      <w:r>
        <w:rPr>
          <w:i/>
          <w:highlight w:val="white"/>
          <w:shd w:val="clear" w:color="auto" w:fill="FFFFFF"/>
        </w:rPr>
        <w:t xml:space="preserve">в </w:t>
      </w:r>
      <w:r>
        <w:rPr>
          <w:rStyle w:val="1e"/>
          <w:i w:val="0"/>
          <w:highlight w:val="white"/>
          <w:shd w:val="clear" w:color="auto" w:fill="FFFFFF"/>
        </w:rPr>
        <w:t>городе Сургуте проведены:</w:t>
      </w:r>
      <w:r>
        <w:rPr>
          <w:rStyle w:val="1e"/>
          <w:highlight w:val="white"/>
          <w:shd w:val="clear" w:color="auto" w:fill="FFFFFF"/>
        </w:rPr>
        <w:t xml:space="preserve"> </w:t>
      </w:r>
      <w:r>
        <w:rPr>
          <w:highlight w:val="white"/>
        </w:rPr>
        <w:t>Открытое первенство города Сургута по баскетболу среди девушек до 16 лет под девизом «Вредным привычкам нет!», Городской т</w:t>
      </w:r>
      <w:r>
        <w:rPr>
          <w:highlight w:val="white"/>
        </w:rPr>
        <w:t xml:space="preserve">урнир по спортивной борьбе (греко-римская борьба) среди юношей в рамках кампании «Спорт против наркотиков», Акция «Здоровое поколение», в рамках первой недели работы площадок, Легкоатлетический пробег, посвященный международному дню борьбы </w:t>
      </w:r>
      <w:r>
        <w:rPr>
          <w:highlight w:val="white"/>
        </w:rPr>
        <w:br/>
        <w:t>с наркоманией и</w:t>
      </w:r>
      <w:r>
        <w:rPr>
          <w:highlight w:val="white"/>
        </w:rPr>
        <w:t xml:space="preserve"> незаконным оборотом наркотиков, привлечено более 700 человек. </w:t>
      </w:r>
    </w:p>
    <w:p w:rsidR="00DC1467" w:rsidRDefault="00B70D3E">
      <w:pPr>
        <w:spacing w:line="276" w:lineRule="auto"/>
        <w:ind w:firstLine="709"/>
        <w:rPr>
          <w:bCs/>
          <w:highlight w:val="white"/>
        </w:rPr>
      </w:pPr>
      <w:r>
        <w:rPr>
          <w:highlight w:val="white"/>
        </w:rPr>
        <w:t xml:space="preserve">3) Размещение информации по предупреждению распространения наркотических средств и психотропных веществ среди детей, подростков </w:t>
      </w:r>
      <w:r>
        <w:rPr>
          <w:highlight w:val="white"/>
        </w:rPr>
        <w:br/>
        <w:t>и молодежи на официальных сайтах физкультурно - спортивных орга</w:t>
      </w:r>
      <w:r>
        <w:rPr>
          <w:highlight w:val="white"/>
        </w:rPr>
        <w:t>низаций.</w:t>
      </w:r>
    </w:p>
    <w:p w:rsidR="00DC1467" w:rsidRDefault="00B70D3E">
      <w:pPr>
        <w:spacing w:line="276" w:lineRule="auto"/>
        <w:ind w:firstLine="709"/>
        <w:rPr>
          <w:highlight w:val="white"/>
        </w:rPr>
      </w:pPr>
      <w:r>
        <w:rPr>
          <w:highlight w:val="white"/>
        </w:rPr>
        <w:t>На стендах учреждений спорта автономного округа в открытом доступе размещены тематические информационные материалы (памятки, брошюры). На официальных сайтах учреждений спорта систематически размещается информация по профилактическим направлениям «</w:t>
      </w:r>
      <w:r>
        <w:rPr>
          <w:highlight w:val="white"/>
        </w:rPr>
        <w:t>История одного обмана», «Административная ответственность несовершеннолетних», «Правда и мифы о наркотиках», «Профилактика наркомании», видео-ролики и т.д., детский телефон доверия с единым общероссийским телефонным номером, с возможностью перехода к инфор</w:t>
      </w:r>
      <w:r>
        <w:rPr>
          <w:highlight w:val="white"/>
        </w:rPr>
        <w:t>мационным материалам (видеороликам) о деятельности «Детского телефона доверия с единым общероссийским телефонным номером 8-800-2000-122».</w:t>
      </w:r>
    </w:p>
    <w:p w:rsidR="00DC1467" w:rsidRDefault="00B70D3E">
      <w:pPr>
        <w:tabs>
          <w:tab w:val="left" w:pos="281"/>
        </w:tabs>
        <w:spacing w:line="276" w:lineRule="auto"/>
        <w:ind w:firstLine="709"/>
        <w:rPr>
          <w:highlight w:val="white"/>
        </w:rPr>
      </w:pPr>
      <w:r>
        <w:rPr>
          <w:highlight w:val="white"/>
        </w:rPr>
        <w:t xml:space="preserve">В г. Нижневартовске </w:t>
      </w:r>
      <w:r>
        <w:rPr>
          <w:bCs/>
          <w:highlight w:val="white"/>
        </w:rPr>
        <w:t>на официальных сайтах учреждений физической культуры и спорта систематически дополняется и обновля</w:t>
      </w:r>
      <w:r>
        <w:rPr>
          <w:bCs/>
          <w:highlight w:val="white"/>
        </w:rPr>
        <w:t xml:space="preserve">ется информация по предупреждению </w:t>
      </w:r>
      <w:r>
        <w:rPr>
          <w:highlight w:val="white"/>
        </w:rPr>
        <w:t>распространения наркотических средств и психотропных веществ среди детей, подростков и молодежи.</w:t>
      </w:r>
    </w:p>
    <w:p w:rsidR="00DC1467" w:rsidRDefault="00B70D3E">
      <w:pPr>
        <w:shd w:val="clear" w:color="auto" w:fill="FFFFFF"/>
        <w:spacing w:line="276" w:lineRule="auto"/>
        <w:ind w:firstLine="709"/>
        <w:rPr>
          <w:bCs/>
          <w:highlight w:val="white"/>
        </w:rPr>
      </w:pPr>
      <w:r>
        <w:rPr>
          <w:bCs/>
          <w:highlight w:val="white"/>
        </w:rPr>
        <w:t>В г. Пыть-Яхе разработаны и размещены в сети Интернет памятки: «Скажи наркотикам – нет!»,просмотров – 153; «Последствия немед</w:t>
      </w:r>
      <w:r>
        <w:rPr>
          <w:bCs/>
          <w:highlight w:val="white"/>
        </w:rPr>
        <w:t xml:space="preserve">ицинского употребления «аптечных наркотиков», просмотров – 122; осуществлялось  транслирование видеороликов «Принудительное курение и ПДК» </w:t>
      </w:r>
      <w:hyperlink r:id="rId50" w:tooltip="https://xn----9sbkcac6brh7h.xn--p1ai/34935/" w:history="1">
        <w:r>
          <w:rPr>
            <w:rStyle w:val="aff9"/>
            <w:bCs/>
            <w:highlight w:val="white"/>
          </w:rPr>
          <w:t>https://</w:t>
        </w:r>
        <w:r>
          <w:rPr>
            <w:rStyle w:val="aff9"/>
            <w:bCs/>
            <w:highlight w:val="white"/>
          </w:rPr>
          <w:t>xn----9sbkcac6brh7h.xn--p1ai/34935/</w:t>
        </w:r>
      </w:hyperlink>
      <w:r>
        <w:rPr>
          <w:bCs/>
          <w:highlight w:val="white"/>
        </w:rPr>
        <w:t xml:space="preserve"> и Принудительное курение и отравляющие вещества </w:t>
      </w:r>
      <w:hyperlink r:id="rId51" w:tooltip="https://xn----9sbkcac6brh7h.xn--p1ai/34937/" w:history="1">
        <w:r>
          <w:rPr>
            <w:rStyle w:val="aff9"/>
            <w:bCs/>
            <w:highlight w:val="white"/>
          </w:rPr>
          <w:t>https://xn----9sbkcac6brh7h.xn--p1ai/34937/.</w:t>
        </w:r>
      </w:hyperlink>
      <w:r>
        <w:rPr>
          <w:bCs/>
          <w:highlight w:val="white"/>
        </w:rPr>
        <w:t xml:space="preserve"> </w:t>
      </w:r>
    </w:p>
    <w:p w:rsidR="00DC1467" w:rsidRDefault="00B70D3E">
      <w:pPr>
        <w:spacing w:line="276" w:lineRule="auto"/>
        <w:ind w:firstLine="709"/>
        <w:rPr>
          <w:highlight w:val="white"/>
        </w:rPr>
      </w:pPr>
      <w:r>
        <w:rPr>
          <w:highlight w:val="white"/>
        </w:rPr>
        <w:t>В г. Покачи на са</w:t>
      </w:r>
      <w:r>
        <w:rPr>
          <w:highlight w:val="white"/>
        </w:rPr>
        <w:t>йтах учреждений размещены агитационные материалы по профилактике вредных привычек (наркомании, табакокурения, алкоголя): «Аспекты ЗОЖ», «Алкоголь – наркотик и яд!», «Твой ответ – НЕТ!», «Влияние алкоголя на организм человека», «Безобидное увлечение или опа</w:t>
      </w:r>
      <w:r>
        <w:rPr>
          <w:highlight w:val="white"/>
        </w:rPr>
        <w:t>сная игра?», «Курение или здоровье выбирайте сами», «Я выбираю жизнь!», «Буклет для родителей! СНЮС – наркотик!», «Старый враг в новой маске», «Запишись в спортивную школу», «Быть здоровым МОДНО».</w:t>
      </w:r>
    </w:p>
    <w:p w:rsidR="00DC1467" w:rsidRDefault="00B70D3E">
      <w:pPr>
        <w:spacing w:line="276" w:lineRule="auto"/>
        <w:ind w:firstLine="709"/>
        <w:rPr>
          <w:bCs/>
          <w:highlight w:val="white"/>
        </w:rPr>
      </w:pPr>
      <w:r>
        <w:rPr>
          <w:bCs/>
          <w:highlight w:val="white"/>
        </w:rPr>
        <w:t>В Ханты-Мансийском районе в рамках антинаркотической деятел</w:t>
      </w:r>
      <w:r>
        <w:rPr>
          <w:bCs/>
          <w:highlight w:val="white"/>
        </w:rPr>
        <w:t xml:space="preserve">ьности проведены следующие мероприятия: акция «Кинематограф против наркотиков»; информационное мероприятие «Скажи наркотикам «Нет!»; онлайн-акция «Мир без наркотиков», посвященная Международному дню борьбы с наркотиками; показ социальных видеороликов </w:t>
      </w:r>
      <w:r>
        <w:rPr>
          <w:bCs/>
          <w:highlight w:val="white"/>
        </w:rPr>
        <w:br/>
        <w:t>«О п</w:t>
      </w:r>
      <w:r>
        <w:rPr>
          <w:bCs/>
          <w:highlight w:val="white"/>
        </w:rPr>
        <w:t>рофилактике незаконного оборота наркотиков», «Наркотики стирают тебя из жизни», «Разговор о наркотиках».</w:t>
      </w:r>
    </w:p>
    <w:p w:rsidR="00DC1467" w:rsidRDefault="00B70D3E">
      <w:pPr>
        <w:pStyle w:val="Style3"/>
        <w:widowControl/>
        <w:spacing w:line="276" w:lineRule="auto"/>
        <w:ind w:firstLine="709"/>
        <w:jc w:val="both"/>
        <w:rPr>
          <w:sz w:val="28"/>
          <w:szCs w:val="28"/>
        </w:rPr>
      </w:pPr>
      <w:r>
        <w:rPr>
          <w:sz w:val="28"/>
          <w:szCs w:val="28"/>
          <w:highlight w:val="white"/>
        </w:rPr>
        <w:t xml:space="preserve">4) </w:t>
      </w:r>
      <w:r>
        <w:rPr>
          <w:sz w:val="28"/>
          <w:szCs w:val="28"/>
        </w:rPr>
        <w:t xml:space="preserve">Использование возможностей физической культуры и спорта как основных средств, направленных на оздоровление и организацию досуга детей, подростков и </w:t>
      </w:r>
      <w:r>
        <w:rPr>
          <w:sz w:val="28"/>
          <w:szCs w:val="28"/>
        </w:rPr>
        <w:t xml:space="preserve">молодежи автономного округа, в </w:t>
      </w:r>
      <w:r>
        <w:rPr>
          <w:sz w:val="28"/>
          <w:szCs w:val="28"/>
          <w:highlight w:val="white"/>
        </w:rPr>
        <w:t>летн</w:t>
      </w:r>
      <w:r>
        <w:rPr>
          <w:sz w:val="28"/>
          <w:szCs w:val="28"/>
        </w:rPr>
        <w:t xml:space="preserve">юю оздоровительную кампанию 2024 года. В этот период в рамках антинаркотической деятельности в автономном округе проведено 1 978 мероприятий (1 767 мероприятий в 2023 г.) с привлечением 105 677 детей и подростков (96 550 </w:t>
      </w:r>
      <w:r>
        <w:rPr>
          <w:sz w:val="28"/>
          <w:szCs w:val="28"/>
        </w:rPr>
        <w:t xml:space="preserve">человек в 2023 г.). </w:t>
      </w:r>
    </w:p>
    <w:p w:rsidR="00DC1467" w:rsidRDefault="00B70D3E">
      <w:pPr>
        <w:spacing w:line="276" w:lineRule="auto"/>
        <w:ind w:firstLine="709"/>
      </w:pPr>
      <w:r>
        <w:t xml:space="preserve">Летний отдых осуществлялся на </w:t>
      </w:r>
      <w:r>
        <w:rPr>
          <w:color w:val="000000"/>
        </w:rPr>
        <w:t xml:space="preserve">236 </w:t>
      </w:r>
      <w:r>
        <w:t xml:space="preserve">дворовых площадках </w:t>
      </w:r>
      <w:r>
        <w:rPr>
          <w:color w:val="000000"/>
          <w:highlight w:val="white"/>
        </w:rPr>
        <w:t>(в 2023 г. – 204 площадки)</w:t>
      </w:r>
      <w:r>
        <w:rPr>
          <w:highlight w:val="white"/>
        </w:rPr>
        <w:t xml:space="preserve"> с общим количеством занимающихся </w:t>
      </w:r>
      <w:r>
        <w:rPr>
          <w:color w:val="000000"/>
          <w:highlight w:val="white"/>
        </w:rPr>
        <w:t>62 535</w:t>
      </w:r>
      <w:r>
        <w:rPr>
          <w:highlight w:val="white"/>
        </w:rPr>
        <w:t xml:space="preserve"> человек </w:t>
      </w:r>
      <w:r>
        <w:rPr>
          <w:color w:val="000000"/>
          <w:highlight w:val="white"/>
        </w:rPr>
        <w:t>(в 2023 г. – 50 150 человек)</w:t>
      </w:r>
      <w:r>
        <w:rPr>
          <w:highlight w:val="white"/>
        </w:rPr>
        <w:t>,</w:t>
      </w:r>
      <w:r>
        <w:rPr>
          <w:bCs/>
          <w:highlight w:val="white"/>
        </w:rPr>
        <w:t xml:space="preserve"> из них </w:t>
      </w:r>
      <w:r>
        <w:rPr>
          <w:bCs/>
          <w:color w:val="000000"/>
          <w:highlight w:val="white"/>
        </w:rPr>
        <w:t>155</w:t>
      </w:r>
      <w:r>
        <w:rPr>
          <w:bCs/>
          <w:highlight w:val="white"/>
        </w:rPr>
        <w:t xml:space="preserve"> </w:t>
      </w:r>
      <w:r>
        <w:rPr>
          <w:rStyle w:val="FontStyle16"/>
          <w:sz w:val="28"/>
          <w:szCs w:val="28"/>
          <w:highlight w:val="white"/>
        </w:rPr>
        <w:t xml:space="preserve">человек из числа детей, состоящих на учете в ОВД и КДН, и </w:t>
      </w:r>
      <w:r>
        <w:rPr>
          <w:rStyle w:val="FontStyle16"/>
          <w:color w:val="000000"/>
          <w:sz w:val="28"/>
          <w:szCs w:val="28"/>
          <w:highlight w:val="white"/>
        </w:rPr>
        <w:t xml:space="preserve">536 </w:t>
      </w:r>
      <w:r>
        <w:rPr>
          <w:rStyle w:val="FontStyle16"/>
          <w:sz w:val="28"/>
          <w:szCs w:val="28"/>
          <w:highlight w:val="white"/>
        </w:rPr>
        <w:t>человек с ограниченн</w:t>
      </w:r>
      <w:r>
        <w:rPr>
          <w:rStyle w:val="FontStyle16"/>
          <w:sz w:val="28"/>
          <w:szCs w:val="28"/>
        </w:rPr>
        <w:t>ыми возможностями здоровья</w:t>
      </w:r>
      <w:r>
        <w:t>.</w:t>
      </w:r>
    </w:p>
    <w:p w:rsidR="00DC1467" w:rsidRDefault="00B70D3E">
      <w:pPr>
        <w:spacing w:line="276" w:lineRule="auto"/>
        <w:ind w:firstLine="709"/>
        <w:rPr>
          <w:bCs/>
        </w:rPr>
      </w:pPr>
      <w:r>
        <w:t>Организацию занятости и оздоровления детей средствами физической культуры и спорта осуществлял</w:t>
      </w:r>
      <w:r>
        <w:rPr>
          <w:highlight w:val="white"/>
        </w:rPr>
        <w:t xml:space="preserve">и </w:t>
      </w:r>
      <w:r>
        <w:rPr>
          <w:color w:val="000000"/>
          <w:highlight w:val="white"/>
        </w:rPr>
        <w:t xml:space="preserve">4 </w:t>
      </w:r>
      <w:r>
        <w:rPr>
          <w:highlight w:val="white"/>
        </w:rPr>
        <w:t xml:space="preserve">клуба по месту жительства </w:t>
      </w:r>
      <w:r>
        <w:rPr>
          <w:color w:val="000000"/>
          <w:highlight w:val="white"/>
        </w:rPr>
        <w:t xml:space="preserve">(в 2023 г. – 11 клубов) </w:t>
      </w:r>
      <w:r>
        <w:rPr>
          <w:highlight w:val="white"/>
        </w:rPr>
        <w:t>с общим количеством 285</w:t>
      </w:r>
      <w:r>
        <w:rPr>
          <w:color w:val="000000"/>
          <w:highlight w:val="white"/>
        </w:rPr>
        <w:t xml:space="preserve"> </w:t>
      </w:r>
      <w:r>
        <w:rPr>
          <w:highlight w:val="white"/>
        </w:rPr>
        <w:t xml:space="preserve">человек </w:t>
      </w:r>
      <w:r>
        <w:rPr>
          <w:color w:val="000000"/>
          <w:highlight w:val="white"/>
        </w:rPr>
        <w:t>(в 2023 году – 706 человек)</w:t>
      </w:r>
      <w:r>
        <w:rPr>
          <w:highlight w:val="white"/>
        </w:rPr>
        <w:t>.</w:t>
      </w:r>
    </w:p>
    <w:p w:rsidR="00DC1467" w:rsidRDefault="00B70D3E">
      <w:pPr>
        <w:pStyle w:val="Default"/>
        <w:spacing w:line="276" w:lineRule="auto"/>
        <w:ind w:firstLine="709"/>
        <w:jc w:val="both"/>
        <w:rPr>
          <w:sz w:val="28"/>
          <w:szCs w:val="28"/>
        </w:rPr>
      </w:pPr>
      <w:r>
        <w:rPr>
          <w:sz w:val="28"/>
          <w:szCs w:val="28"/>
          <w:highlight w:val="white"/>
        </w:rPr>
        <w:t>Работали 37 спортивно-оздоровительных лагерей с дневным пребыванием на базе СДЮСШОР, ДЮСШ и других учреждений (в 2023 г. – такое же количество), охвачено 3 313 человек (в 2023 г. – 3</w:t>
      </w:r>
      <w:r>
        <w:rPr>
          <w:sz w:val="28"/>
          <w:szCs w:val="28"/>
        </w:rPr>
        <w:t xml:space="preserve"> 664 человека),</w:t>
      </w:r>
      <w:r>
        <w:rPr>
          <w:bCs/>
          <w:sz w:val="28"/>
          <w:szCs w:val="28"/>
        </w:rPr>
        <w:t xml:space="preserve"> </w:t>
      </w:r>
      <w:r>
        <w:rPr>
          <w:bCs/>
          <w:sz w:val="28"/>
          <w:szCs w:val="28"/>
        </w:rPr>
        <w:br/>
        <w:t>из них 17</w:t>
      </w:r>
      <w:r>
        <w:rPr>
          <w:bCs/>
          <w:color w:val="FF0000"/>
          <w:sz w:val="28"/>
          <w:szCs w:val="28"/>
        </w:rPr>
        <w:t xml:space="preserve"> </w:t>
      </w:r>
      <w:r>
        <w:rPr>
          <w:rStyle w:val="FontStyle16"/>
          <w:sz w:val="28"/>
          <w:szCs w:val="28"/>
        </w:rPr>
        <w:t xml:space="preserve">человек из числа детей, состоящих на учете в ОВД и КДН, </w:t>
      </w:r>
      <w:r>
        <w:rPr>
          <w:rStyle w:val="FontStyle16"/>
          <w:sz w:val="28"/>
          <w:szCs w:val="28"/>
        </w:rPr>
        <w:br/>
        <w:t>и 11 человек с ограниченными возможностями здоровья</w:t>
      </w:r>
      <w:r>
        <w:rPr>
          <w:sz w:val="28"/>
          <w:szCs w:val="28"/>
        </w:rPr>
        <w:t>.</w:t>
      </w:r>
    </w:p>
    <w:p w:rsidR="00DC1467" w:rsidRDefault="00B70D3E">
      <w:pPr>
        <w:spacing w:line="276" w:lineRule="auto"/>
        <w:ind w:firstLine="709"/>
      </w:pPr>
      <w:r>
        <w:t xml:space="preserve">Организовано 14 профильных смен на базе загородных </w:t>
      </w:r>
      <w:r>
        <w:br/>
        <w:t xml:space="preserve">и палаточных оздоровительных лагерей в Нижневартовском, Сургутском </w:t>
      </w:r>
      <w:r>
        <w:br/>
        <w:t>и Советском районах, г. По</w:t>
      </w:r>
      <w:r>
        <w:t xml:space="preserve">качи, Мегион. Данным видом отдыха было охвачено </w:t>
      </w:r>
      <w:r>
        <w:rPr>
          <w:color w:val="000000"/>
        </w:rPr>
        <w:t>1 319</w:t>
      </w:r>
      <w:r>
        <w:rPr>
          <w:color w:val="FF0000"/>
        </w:rPr>
        <w:t xml:space="preserve"> </w:t>
      </w:r>
      <w:r>
        <w:t>подростков.</w:t>
      </w:r>
    </w:p>
    <w:p w:rsidR="00DC1467" w:rsidRDefault="00B70D3E">
      <w:pPr>
        <w:spacing w:line="276" w:lineRule="auto"/>
        <w:ind w:firstLine="709"/>
      </w:pPr>
      <w:r>
        <w:t xml:space="preserve">Всего привлечено к активному отдыху 72 596 человек </w:t>
      </w:r>
      <w:r>
        <w:rPr>
          <w:color w:val="000000"/>
        </w:rPr>
        <w:t xml:space="preserve">(в 2023 г. – </w:t>
      </w:r>
      <w:r>
        <w:t>65 461</w:t>
      </w:r>
      <w:r>
        <w:rPr>
          <w:color w:val="000000"/>
        </w:rPr>
        <w:t xml:space="preserve"> человек)</w:t>
      </w:r>
      <w:r>
        <w:t>, в том числе 213 человек, состоящих на учете в КДН</w:t>
      </w:r>
      <w:r>
        <w:rPr>
          <w:rStyle w:val="FontStyle16"/>
          <w:sz w:val="28"/>
          <w:szCs w:val="28"/>
        </w:rPr>
        <w:t xml:space="preserve"> и 547</w:t>
      </w:r>
      <w:r>
        <w:rPr>
          <w:rStyle w:val="FontStyle16"/>
          <w:sz w:val="28"/>
          <w:szCs w:val="28"/>
          <w:highlight w:val="yellow"/>
        </w:rPr>
        <w:t xml:space="preserve"> </w:t>
      </w:r>
      <w:r>
        <w:rPr>
          <w:rStyle w:val="FontStyle16"/>
          <w:sz w:val="28"/>
          <w:szCs w:val="28"/>
        </w:rPr>
        <w:t>человека с ограниченными возможностями здоровья.</w:t>
      </w:r>
    </w:p>
    <w:p w:rsidR="00DC1467" w:rsidRDefault="00B70D3E">
      <w:pPr>
        <w:pStyle w:val="aff5"/>
        <w:spacing w:line="276" w:lineRule="auto"/>
        <w:ind w:firstLine="709"/>
        <w:jc w:val="both"/>
        <w:rPr>
          <w:rFonts w:ascii="Times New Roman" w:hAnsi="Times New Roman" w:cs="Times New Roman"/>
          <w:sz w:val="28"/>
          <w:szCs w:val="28"/>
        </w:rPr>
      </w:pPr>
      <w:bookmarkStart w:id="5" w:name="_Hlk63782071"/>
      <w:r>
        <w:rPr>
          <w:rFonts w:ascii="Times New Roman" w:hAnsi="Times New Roman" w:cs="Times New Roman"/>
          <w:sz w:val="28"/>
          <w:szCs w:val="28"/>
        </w:rPr>
        <w:t>В це</w:t>
      </w:r>
      <w:r>
        <w:rPr>
          <w:rFonts w:ascii="Times New Roman" w:hAnsi="Times New Roman" w:cs="Times New Roman"/>
          <w:sz w:val="28"/>
          <w:szCs w:val="28"/>
        </w:rPr>
        <w:t xml:space="preserve">лом в 2024 году проведено 385 спортивных мероприятий окружного, межрегионального, всероссийского и международного уровней. Охват участников составил 78 405 человек. В том числе проведено </w:t>
      </w:r>
      <w:r>
        <w:rPr>
          <w:rFonts w:ascii="Times New Roman" w:hAnsi="Times New Roman" w:cs="Times New Roman"/>
          <w:sz w:val="28"/>
          <w:szCs w:val="28"/>
        </w:rPr>
        <w:br/>
        <w:t>100 спортивных мероприятий в рамках комплексных спартакиад с участие</w:t>
      </w:r>
      <w:r>
        <w:rPr>
          <w:rFonts w:ascii="Times New Roman" w:hAnsi="Times New Roman" w:cs="Times New Roman"/>
          <w:sz w:val="28"/>
          <w:szCs w:val="28"/>
        </w:rPr>
        <w:t xml:space="preserve">м </w:t>
      </w:r>
      <w:r>
        <w:rPr>
          <w:rFonts w:ascii="Times New Roman" w:hAnsi="Times New Roman" w:cs="Times New Roman"/>
          <w:sz w:val="28"/>
          <w:szCs w:val="28"/>
        </w:rPr>
        <w:br/>
        <w:t>8 084 человек.</w:t>
      </w:r>
    </w:p>
    <w:p w:rsidR="00DC1467" w:rsidRDefault="00B70D3E">
      <w:pPr>
        <w:pStyle w:val="aff5"/>
        <w:spacing w:line="276" w:lineRule="auto"/>
        <w:ind w:firstLine="709"/>
        <w:jc w:val="both"/>
        <w:rPr>
          <w:rFonts w:ascii="Times New Roman" w:hAnsi="Times New Roman" w:cs="Times New Roman"/>
          <w:sz w:val="28"/>
          <w:szCs w:val="28"/>
        </w:rPr>
      </w:pPr>
      <w:bookmarkStart w:id="6" w:name="_Hlk29979635"/>
      <w:r>
        <w:rPr>
          <w:rFonts w:ascii="Times New Roman" w:hAnsi="Times New Roman" w:cs="Times New Roman"/>
          <w:sz w:val="28"/>
          <w:szCs w:val="28"/>
        </w:rPr>
        <w:t>- Наиболее значимые, крупномасштабные мероприятия в рамках окружных программ:</w:t>
      </w:r>
      <w:bookmarkEnd w:id="5"/>
      <w:bookmarkEnd w:id="6"/>
    </w:p>
    <w:p w:rsidR="00DC1467" w:rsidRDefault="00B70D3E">
      <w:pPr>
        <w:spacing w:line="276" w:lineRule="auto"/>
        <w:ind w:firstLine="709"/>
        <w:contextualSpacing/>
      </w:pPr>
      <w:r>
        <w:t>- XLII открытая Всероссийская массовая лыжная гонка «Лыжня России», муниципальные образования автономного округа, 16 449 участников;</w:t>
      </w:r>
    </w:p>
    <w:p w:rsidR="00DC1467" w:rsidRDefault="00B70D3E">
      <w:pPr>
        <w:spacing w:line="276" w:lineRule="auto"/>
        <w:ind w:firstLine="709"/>
        <w:contextualSpacing/>
      </w:pPr>
      <w:r>
        <w:t xml:space="preserve">- Первенство России (юниоры, юниорки) по биатлону, </w:t>
      </w:r>
      <w:r>
        <w:br/>
        <w:t>Ханты-Мансийск, 174 участника;</w:t>
      </w:r>
    </w:p>
    <w:p w:rsidR="00DC1467" w:rsidRDefault="00B70D3E">
      <w:pPr>
        <w:spacing w:line="276" w:lineRule="auto"/>
        <w:ind w:firstLine="709"/>
        <w:contextualSpacing/>
      </w:pPr>
      <w:r>
        <w:t xml:space="preserve">- Всероссийский полумарафон «ЗаБег.РФ», г. Ханты-Мансийск, </w:t>
      </w:r>
      <w:r>
        <w:br/>
        <w:t>751 участник;</w:t>
      </w:r>
    </w:p>
    <w:p w:rsidR="00DC1467" w:rsidRDefault="00B70D3E">
      <w:pPr>
        <w:spacing w:line="276" w:lineRule="auto"/>
        <w:ind w:firstLine="709"/>
        <w:contextualSpacing/>
      </w:pPr>
      <w:r>
        <w:t xml:space="preserve">- Всероссийские спортивные соревнования по конкуру и выездке  «Кубок Губернатора Ханты-Мансийского </w:t>
      </w:r>
      <w:r>
        <w:t xml:space="preserve">автономного округа – Югры» </w:t>
      </w:r>
      <w:r>
        <w:br/>
        <w:t>г. Ханты-Мансийск, 150 участников.</w:t>
      </w:r>
    </w:p>
    <w:p w:rsidR="00DC1467" w:rsidRDefault="00B70D3E">
      <w:pPr>
        <w:spacing w:line="276" w:lineRule="auto"/>
        <w:ind w:firstLine="709"/>
        <w:contextualSpacing/>
      </w:pPr>
      <w:r>
        <w:t xml:space="preserve">XI Международный Югорский лыжный марафон «UGRA SKI», </w:t>
      </w:r>
      <w:r>
        <w:br/>
        <w:t>г. Ханты-Мансийск, 3 734 участника;</w:t>
      </w:r>
    </w:p>
    <w:p w:rsidR="00DC1467" w:rsidRDefault="00B70D3E">
      <w:pPr>
        <w:spacing w:line="276" w:lineRule="auto"/>
        <w:ind w:firstLine="709"/>
        <w:contextualSpacing/>
      </w:pPr>
      <w:r>
        <w:t>- Международные соревнования на Кубок Губернатора автономного округа по гребле на обласах, в рамках пра</w:t>
      </w:r>
      <w:r>
        <w:t xml:space="preserve">здника Вин хон хатл, </w:t>
      </w:r>
      <w:r>
        <w:br/>
        <w:t>г. Ханты-Мансийск, 200 участников.</w:t>
      </w:r>
    </w:p>
    <w:p w:rsidR="00DC1467" w:rsidRDefault="00B70D3E">
      <w:pPr>
        <w:spacing w:line="276" w:lineRule="auto"/>
        <w:ind w:firstLine="709"/>
      </w:pPr>
      <w:r>
        <w:t>На официальном общероссийском сайте</w:t>
      </w:r>
      <w:r>
        <w:rPr>
          <w:b/>
        </w:rPr>
        <w:t xml:space="preserve"> </w:t>
      </w:r>
      <w:r>
        <w:t>Всероссийского физкультурно-спортивного комплекса «Готов к труду и обороне» GTO.RU, на окончание отчётного периода зарегистрировано 349 970 жителей автономного окр</w:t>
      </w:r>
      <w:r>
        <w:t xml:space="preserve">уга. В автономном округе проведены: Фестиваль Всероссийского физкультурно-спортивного комплекса «Готов к труду </w:t>
      </w:r>
      <w:r>
        <w:br/>
        <w:t>и обороне» среди семейных команд; Фестиваль Всероссийского физкультурно-спортивного комплекса «Готов к труду и обороне» среди обучающихся образо</w:t>
      </w:r>
      <w:r>
        <w:t>вательных организаций; Фестиваль Всероссийского физкультурно-спортивного комплекса «Готов к труду и обороне» среди студентов образовательных организаций высшего и среднего образования.</w:t>
      </w:r>
    </w:p>
    <w:p w:rsidR="00DC1467" w:rsidRDefault="00DC1467">
      <w:pPr>
        <w:spacing w:line="276" w:lineRule="auto"/>
        <w:ind w:firstLine="709"/>
        <w:outlineLvl w:val="1"/>
        <w:rPr>
          <w:b/>
          <w:highlight w:val="yellow"/>
        </w:rPr>
      </w:pPr>
    </w:p>
    <w:p w:rsidR="00DC1467" w:rsidRDefault="00DC1467">
      <w:pPr>
        <w:spacing w:line="276" w:lineRule="auto"/>
        <w:ind w:firstLine="709"/>
        <w:outlineLvl w:val="1"/>
        <w:rPr>
          <w:b/>
          <w:highlight w:val="yellow"/>
        </w:rPr>
        <w:sectPr w:rsidR="00DC1467">
          <w:headerReference w:type="default" r:id="rId52"/>
          <w:headerReference w:type="first" r:id="rId53"/>
          <w:footerReference w:type="first" r:id="rId54"/>
          <w:pgSz w:w="11906" w:h="16838"/>
          <w:pgMar w:top="1134" w:right="851" w:bottom="1134" w:left="1701" w:header="709" w:footer="709" w:gutter="0"/>
          <w:cols w:space="708"/>
          <w:docGrid w:linePitch="360"/>
        </w:sectPr>
      </w:pPr>
    </w:p>
    <w:p w:rsidR="00DC1467" w:rsidRDefault="00B70D3E">
      <w:pPr>
        <w:spacing w:line="276" w:lineRule="auto"/>
        <w:ind w:firstLine="709"/>
        <w:outlineLvl w:val="1"/>
        <w:rPr>
          <w:b/>
        </w:rPr>
      </w:pPr>
      <w:r>
        <w:rPr>
          <w:b/>
        </w:rPr>
        <w:t>7. Информация о ходе исполнения перечня приоритетны</w:t>
      </w:r>
      <w:r>
        <w:rPr>
          <w:b/>
        </w:rPr>
        <w:t>х направлений (плана мероприятий) реализации Стратегии государственной антинаркотической политики Российской Федерации на период до 2030 года</w:t>
      </w:r>
    </w:p>
    <w:p w:rsidR="00DC1467" w:rsidRDefault="00DC1467">
      <w:pPr>
        <w:tabs>
          <w:tab w:val="left" w:pos="540"/>
        </w:tabs>
        <w:spacing w:line="276" w:lineRule="auto"/>
        <w:ind w:firstLine="709"/>
        <w:rPr>
          <w:b/>
          <w:i/>
        </w:rPr>
      </w:pPr>
    </w:p>
    <w:p w:rsidR="00DC1467" w:rsidRDefault="00B70D3E">
      <w:pPr>
        <w:tabs>
          <w:tab w:val="left" w:pos="540"/>
        </w:tabs>
        <w:spacing w:line="276" w:lineRule="auto"/>
        <w:ind w:firstLine="709"/>
      </w:pPr>
      <w:r>
        <w:t>В Ханты-Мансийском автономном округе – Югре реализуется Перечень приоритетных направлений (план мероприятий) реал</w:t>
      </w:r>
      <w:r>
        <w:t xml:space="preserve">изации Стратегии государственной антинаркотической политики Российской Федерации на период до 2030 года в Ханты-Мансийском автономном </w:t>
      </w:r>
      <w:r>
        <w:br/>
        <w:t xml:space="preserve">округе – Югре, утвержденный распоряжением Губернатора </w:t>
      </w:r>
      <w:r>
        <w:br/>
        <w:t xml:space="preserve">Ханты-Мансийского автономного округа – Югры от 15.04.2021 </w:t>
      </w:r>
      <w:r>
        <w:br/>
        <w:t>№ 102-р</w:t>
      </w:r>
      <w:r>
        <w:t xml:space="preserve">г. </w:t>
      </w:r>
    </w:p>
    <w:p w:rsidR="00DC1467" w:rsidRDefault="00B70D3E">
      <w:pPr>
        <w:tabs>
          <w:tab w:val="left" w:pos="540"/>
        </w:tabs>
        <w:spacing w:line="276" w:lineRule="auto"/>
        <w:ind w:firstLine="709"/>
        <w:rPr>
          <w:b/>
          <w:bCs/>
          <w:i/>
        </w:rPr>
      </w:pPr>
      <w:r>
        <w:rPr>
          <w:b/>
          <w:i/>
        </w:rPr>
        <w:t>1. «Совершенствование антинаркотической деятельности и государственного контроля за оборотом наркотиков»</w:t>
      </w:r>
    </w:p>
    <w:p w:rsidR="00DC1467" w:rsidRDefault="00B70D3E">
      <w:pPr>
        <w:widowControl w:val="0"/>
        <w:spacing w:line="276" w:lineRule="auto"/>
        <w:ind w:firstLine="709"/>
      </w:pPr>
      <w:r>
        <w:t>Задачи, решаемые в этом приоритетном направлении:</w:t>
      </w:r>
    </w:p>
    <w:p w:rsidR="00DC1467" w:rsidRDefault="00B70D3E">
      <w:pPr>
        <w:widowControl w:val="0"/>
        <w:spacing w:line="276" w:lineRule="auto"/>
        <w:ind w:firstLine="709"/>
      </w:pPr>
      <w:r>
        <w:t>совершенствование (с учетом анализа наркоситуации</w:t>
      </w:r>
      <w:r>
        <w:t>, научных исследований и разработок) нормативного правового регулирования антинаркотической деятельности;</w:t>
      </w:r>
    </w:p>
    <w:p w:rsidR="00DC1467" w:rsidRDefault="00B70D3E">
      <w:pPr>
        <w:widowControl w:val="0"/>
        <w:spacing w:line="276" w:lineRule="auto"/>
        <w:ind w:firstLine="709"/>
      </w:pPr>
      <w:r>
        <w:t>обеспечение эффективной координации антинаркотической деятельности;</w:t>
      </w:r>
    </w:p>
    <w:p w:rsidR="00DC1467" w:rsidRDefault="00B70D3E">
      <w:pPr>
        <w:widowControl w:val="0"/>
        <w:spacing w:line="276" w:lineRule="auto"/>
        <w:ind w:firstLine="709"/>
      </w:pPr>
      <w:r>
        <w:t>совершенствование системы мониторинга наркоситуации, повышение оперативности и объ</w:t>
      </w:r>
      <w:r>
        <w:t>ективности исследований в сфере контроля за оборотом наркотиков.</w:t>
      </w:r>
    </w:p>
    <w:p w:rsidR="00DC1467" w:rsidRDefault="00B70D3E">
      <w:pPr>
        <w:pStyle w:val="ad"/>
        <w:widowControl w:val="0"/>
        <w:spacing w:line="276" w:lineRule="auto"/>
        <w:ind w:left="0" w:firstLine="709"/>
      </w:pPr>
      <w:r>
        <w:t>Меры, обеспечивающие решение указанных задач:</w:t>
      </w:r>
    </w:p>
    <w:p w:rsidR="00DC1467" w:rsidRDefault="00B70D3E">
      <w:pPr>
        <w:widowControl w:val="0"/>
        <w:spacing w:line="276" w:lineRule="auto"/>
        <w:ind w:firstLine="709"/>
      </w:pPr>
      <w:r>
        <w:t>принятие нормативных правовых актов, повышающих эффективность антинаркотической деятельности;</w:t>
      </w:r>
    </w:p>
    <w:p w:rsidR="00DC1467" w:rsidRDefault="00B70D3E">
      <w:pPr>
        <w:widowControl w:val="0"/>
        <w:spacing w:line="276" w:lineRule="auto"/>
        <w:ind w:firstLine="709"/>
      </w:pPr>
      <w:r>
        <w:t>обеспечение согласованности мер по реализации Страт</w:t>
      </w:r>
      <w:r>
        <w:t xml:space="preserve">егии </w:t>
      </w:r>
      <w:r>
        <w:br/>
        <w:t>на региональном и муниципальном уровнях;</w:t>
      </w:r>
    </w:p>
    <w:p w:rsidR="00DC1467" w:rsidRDefault="00B70D3E">
      <w:pPr>
        <w:widowControl w:val="0"/>
        <w:spacing w:line="276" w:lineRule="auto"/>
        <w:ind w:firstLine="709"/>
      </w:pPr>
      <w:r>
        <w:t xml:space="preserve">методическое обеспечение деятельности органов местного самоуправления муниципальных образований автономного округа </w:t>
      </w:r>
      <w:r>
        <w:br/>
        <w:t>по вопросам реализации антинаркотической политики</w:t>
      </w:r>
      <w:r>
        <w:rPr>
          <w:rFonts w:eastAsia="Calibri"/>
        </w:rPr>
        <w:t xml:space="preserve"> в </w:t>
      </w:r>
      <w:r>
        <w:t>автономном округе;</w:t>
      </w:r>
    </w:p>
    <w:p w:rsidR="00DC1467" w:rsidRDefault="00B70D3E">
      <w:pPr>
        <w:widowControl w:val="0"/>
        <w:spacing w:line="276" w:lineRule="auto"/>
        <w:ind w:firstLine="709"/>
      </w:pPr>
      <w:r>
        <w:t>организация профессион</w:t>
      </w:r>
      <w:r>
        <w:t>альной подготовки и переподготовки специалистов, обеспечивающих реализацию государственной антинаркотической политики;</w:t>
      </w:r>
    </w:p>
    <w:p w:rsidR="00DC1467" w:rsidRDefault="00B70D3E">
      <w:pPr>
        <w:tabs>
          <w:tab w:val="left" w:pos="540"/>
        </w:tabs>
        <w:spacing w:line="276" w:lineRule="auto"/>
        <w:ind w:firstLine="709"/>
      </w:pPr>
      <w:r>
        <w:t>создание условий для эффективного участия общественных объединений, организаций и граждан в антинаркотической деятельности.</w:t>
      </w:r>
    </w:p>
    <w:p w:rsidR="00DC1467" w:rsidRDefault="00B70D3E">
      <w:pPr>
        <w:tabs>
          <w:tab w:val="left" w:pos="540"/>
        </w:tabs>
        <w:spacing w:line="276" w:lineRule="auto"/>
        <w:ind w:firstLine="709"/>
      </w:pPr>
      <w:r>
        <w:t xml:space="preserve">Информация о </w:t>
      </w:r>
      <w:r>
        <w:t>реализации указанного приоритетного направления:</w:t>
      </w:r>
    </w:p>
    <w:p w:rsidR="00DC1467" w:rsidRDefault="00DC1467">
      <w:pPr>
        <w:tabs>
          <w:tab w:val="left" w:pos="540"/>
        </w:tabs>
        <w:spacing w:line="276" w:lineRule="auto"/>
        <w:ind w:firstLine="709"/>
      </w:pPr>
    </w:p>
    <w:p w:rsidR="00DC1467" w:rsidRDefault="00DC1467">
      <w:pPr>
        <w:tabs>
          <w:tab w:val="left" w:pos="540"/>
        </w:tabs>
        <w:spacing w:line="276" w:lineRule="auto"/>
        <w:ind w:firstLine="709"/>
      </w:pPr>
    </w:p>
    <w:tbl>
      <w:tblPr>
        <w:tblStyle w:val="ac"/>
        <w:tblW w:w="9464" w:type="dxa"/>
        <w:tblLayout w:type="fixed"/>
        <w:tblLook w:val="04A0" w:firstRow="1" w:lastRow="0" w:firstColumn="1" w:lastColumn="0" w:noHBand="0" w:noVBand="1"/>
      </w:tblPr>
      <w:tblGrid>
        <w:gridCol w:w="672"/>
        <w:gridCol w:w="2413"/>
        <w:gridCol w:w="6379"/>
      </w:tblGrid>
      <w:tr w:rsidR="00DC1467">
        <w:trPr>
          <w:tblHeader/>
        </w:trPr>
        <w:tc>
          <w:tcPr>
            <w:tcW w:w="672" w:type="dxa"/>
            <w:shd w:val="clear" w:color="FFFFFF" w:fill="FFFFFF"/>
            <w:vAlign w:val="center"/>
          </w:tcPr>
          <w:p w:rsidR="00DC1467" w:rsidRDefault="00B70D3E">
            <w:pPr>
              <w:spacing w:line="240" w:lineRule="auto"/>
              <w:ind w:firstLine="0"/>
              <w:jc w:val="center"/>
              <w:outlineLvl w:val="1"/>
              <w:rPr>
                <w:color w:val="000000"/>
                <w:sz w:val="22"/>
                <w:szCs w:val="22"/>
              </w:rPr>
            </w:pPr>
            <w:r>
              <w:rPr>
                <w:color w:val="000000" w:themeColor="text1"/>
                <w:sz w:val="22"/>
                <w:szCs w:val="22"/>
              </w:rPr>
              <w:t>№ п/п</w:t>
            </w:r>
          </w:p>
        </w:tc>
        <w:tc>
          <w:tcPr>
            <w:tcW w:w="2413" w:type="dxa"/>
            <w:shd w:val="clear" w:color="FFFFFF" w:fill="FFFFFF"/>
            <w:vAlign w:val="center"/>
          </w:tcPr>
          <w:p w:rsidR="00DC1467" w:rsidRDefault="00B70D3E">
            <w:pPr>
              <w:spacing w:line="240" w:lineRule="auto"/>
              <w:ind w:firstLine="0"/>
              <w:jc w:val="center"/>
              <w:rPr>
                <w:color w:val="000000"/>
                <w:sz w:val="22"/>
                <w:szCs w:val="22"/>
              </w:rPr>
            </w:pPr>
            <w:r>
              <w:rPr>
                <w:color w:val="000000" w:themeColor="text1"/>
                <w:sz w:val="22"/>
                <w:szCs w:val="22"/>
              </w:rPr>
              <w:t>Мероприятия</w:t>
            </w:r>
          </w:p>
        </w:tc>
        <w:tc>
          <w:tcPr>
            <w:tcW w:w="6379" w:type="dxa"/>
            <w:shd w:val="clear" w:color="FFFFFF" w:fill="FFFFFF"/>
            <w:vAlign w:val="center"/>
          </w:tcPr>
          <w:p w:rsidR="00DC1467" w:rsidRDefault="00B70D3E">
            <w:pPr>
              <w:tabs>
                <w:tab w:val="left" w:pos="540"/>
              </w:tabs>
              <w:spacing w:line="240" w:lineRule="auto"/>
              <w:ind w:firstLine="0"/>
              <w:jc w:val="center"/>
              <w:rPr>
                <w:color w:val="000000"/>
                <w:sz w:val="22"/>
                <w:szCs w:val="22"/>
              </w:rPr>
            </w:pPr>
            <w:r>
              <w:rPr>
                <w:color w:val="000000" w:themeColor="text1"/>
                <w:sz w:val="22"/>
                <w:szCs w:val="22"/>
              </w:rPr>
              <w:t>Информация о реализации</w:t>
            </w:r>
          </w:p>
        </w:tc>
      </w:tr>
      <w:tr w:rsidR="00DC1467">
        <w:tc>
          <w:tcPr>
            <w:tcW w:w="672" w:type="dxa"/>
            <w:shd w:val="clear" w:color="FFFFFF" w:fill="FFFFFF"/>
          </w:tcPr>
          <w:p w:rsidR="00DC1467" w:rsidRDefault="00B70D3E">
            <w:pPr>
              <w:pStyle w:val="ad"/>
              <w:spacing w:line="240" w:lineRule="auto"/>
              <w:ind w:left="0" w:firstLine="0"/>
              <w:jc w:val="center"/>
              <w:rPr>
                <w:color w:val="000000"/>
                <w:sz w:val="22"/>
                <w:szCs w:val="22"/>
              </w:rPr>
            </w:pPr>
            <w:r>
              <w:rPr>
                <w:color w:val="000000"/>
                <w:sz w:val="22"/>
                <w:szCs w:val="22"/>
              </w:rPr>
              <w:t>1</w:t>
            </w:r>
          </w:p>
        </w:tc>
        <w:tc>
          <w:tcPr>
            <w:tcW w:w="2413" w:type="dxa"/>
            <w:shd w:val="clear" w:color="FFFFFF" w:fill="FFFFFF"/>
          </w:tcPr>
          <w:p w:rsidR="00DC1467" w:rsidRDefault="00B70D3E">
            <w:pPr>
              <w:pStyle w:val="ConsPlusNormal"/>
              <w:ind w:firstLine="0"/>
              <w:rPr>
                <w:rFonts w:ascii="Times New Roman" w:hAnsi="Times New Roman" w:cs="Times New Roman"/>
                <w:color w:val="000000"/>
                <w:sz w:val="22"/>
                <w:szCs w:val="22"/>
              </w:rPr>
            </w:pPr>
            <w:r>
              <w:rPr>
                <w:rFonts w:ascii="Times New Roman" w:hAnsi="Times New Roman" w:cs="Times New Roman"/>
                <w:color w:val="000000" w:themeColor="text1"/>
                <w:sz w:val="22"/>
                <w:szCs w:val="22"/>
              </w:rPr>
              <w:t xml:space="preserve">Организация и проведение социологического исследования оценки эффективности мер противодействия незаконному распространению и потреблению наркотиков </w:t>
            </w:r>
          </w:p>
        </w:tc>
        <w:tc>
          <w:tcPr>
            <w:tcW w:w="6379" w:type="dxa"/>
            <w:shd w:val="clear" w:color="FFFFFF" w:fill="FFFFFF"/>
          </w:tcPr>
          <w:p w:rsidR="00DC1467" w:rsidRDefault="00B70D3E">
            <w:pPr>
              <w:spacing w:line="240" w:lineRule="auto"/>
              <w:ind w:firstLine="0"/>
              <w:outlineLvl w:val="1"/>
              <w:rPr>
                <w:sz w:val="22"/>
                <w:szCs w:val="22"/>
              </w:rPr>
            </w:pPr>
            <w:r>
              <w:rPr>
                <w:color w:val="000000" w:themeColor="text1"/>
                <w:sz w:val="22"/>
                <w:szCs w:val="22"/>
              </w:rPr>
              <w:t>АУ ХМАО-</w:t>
            </w:r>
            <w:r>
              <w:rPr>
                <w:color w:val="000000" w:themeColor="text1"/>
                <w:sz w:val="22"/>
                <w:szCs w:val="22"/>
              </w:rPr>
              <w:t>Югры  «Экспертно-координационный центр Правительства Югры «Открытый регион» в ноябре 2024 года проведено социологическое исследование. Опрошены 1700 респондентов (анкетный опрос по месту жительства респондентов). Отчетные материалы по результатам исследова</w:t>
            </w:r>
            <w:r>
              <w:rPr>
                <w:color w:val="000000" w:themeColor="text1"/>
                <w:sz w:val="22"/>
                <w:szCs w:val="22"/>
              </w:rPr>
              <w:t>ния направлены в адрес Департамента региональной безопасности автономного округа в декабре 2024 года.</w:t>
            </w:r>
          </w:p>
        </w:tc>
      </w:tr>
      <w:tr w:rsidR="00DC1467">
        <w:tc>
          <w:tcPr>
            <w:tcW w:w="672" w:type="dxa"/>
            <w:shd w:val="clear" w:color="FFFFFF" w:fill="FFFFFF"/>
          </w:tcPr>
          <w:p w:rsidR="00DC1467" w:rsidRDefault="00B70D3E">
            <w:pPr>
              <w:pStyle w:val="ad"/>
              <w:spacing w:line="240" w:lineRule="auto"/>
              <w:ind w:left="0" w:firstLine="0"/>
              <w:jc w:val="center"/>
              <w:rPr>
                <w:sz w:val="22"/>
                <w:szCs w:val="22"/>
              </w:rPr>
            </w:pPr>
            <w:r>
              <w:rPr>
                <w:sz w:val="22"/>
                <w:szCs w:val="22"/>
              </w:rPr>
              <w:t>2</w:t>
            </w:r>
          </w:p>
        </w:tc>
        <w:tc>
          <w:tcPr>
            <w:tcW w:w="2413" w:type="dxa"/>
            <w:shd w:val="clear" w:color="FFFFFF" w:fill="FFFFFF"/>
          </w:tcPr>
          <w:p w:rsidR="00DC1467" w:rsidRDefault="00B70D3E">
            <w:pPr>
              <w:pStyle w:val="ConsPlusNormal"/>
              <w:ind w:firstLine="0"/>
              <w:rPr>
                <w:rFonts w:ascii="Times New Roman" w:hAnsi="Times New Roman" w:cs="Times New Roman"/>
                <w:sz w:val="22"/>
                <w:szCs w:val="22"/>
              </w:rPr>
            </w:pPr>
            <w:r>
              <w:rPr>
                <w:rFonts w:ascii="Times New Roman" w:hAnsi="Times New Roman" w:cs="Times New Roman"/>
                <w:sz w:val="22"/>
                <w:szCs w:val="22"/>
              </w:rPr>
              <w:t>Проведение информационной антинаркотической политики</w:t>
            </w:r>
          </w:p>
        </w:tc>
        <w:tc>
          <w:tcPr>
            <w:tcW w:w="6379" w:type="dxa"/>
            <w:shd w:val="clear" w:color="FFFFFF" w:fill="FFFFFF"/>
          </w:tcPr>
          <w:p w:rsidR="00DC1467" w:rsidRDefault="00B70D3E">
            <w:pPr>
              <w:spacing w:line="240" w:lineRule="auto"/>
              <w:ind w:firstLine="0"/>
              <w:outlineLvl w:val="1"/>
              <w:rPr>
                <w:sz w:val="22"/>
                <w:szCs w:val="22"/>
              </w:rPr>
            </w:pPr>
            <w:r>
              <w:rPr>
                <w:sz w:val="22"/>
                <w:szCs w:val="22"/>
              </w:rPr>
              <w:t>Департаментом внутренней политики на системной основе организовано размещение материалов (сообщени</w:t>
            </w:r>
            <w:r>
              <w:rPr>
                <w:sz w:val="22"/>
                <w:szCs w:val="22"/>
              </w:rPr>
              <w:t>й), направленных на профилактику всех видов зависимостей, в том числе наркотической, и пропаганду здорового образа жизни в средствах массовой информации автономного округа, муниципальных образований, в официальных сообществах региона и муниципальных образо</w:t>
            </w:r>
            <w:r>
              <w:rPr>
                <w:sz w:val="22"/>
                <w:szCs w:val="22"/>
              </w:rPr>
              <w:t xml:space="preserve">ваний, в региональных и городских пабликах в социальных сетях «ВКонтакте», «Одноклассники».  </w:t>
            </w:r>
          </w:p>
        </w:tc>
      </w:tr>
      <w:tr w:rsidR="00DC1467">
        <w:tc>
          <w:tcPr>
            <w:tcW w:w="672" w:type="dxa"/>
            <w:shd w:val="clear" w:color="FFFFFF" w:fill="FFFFFF"/>
          </w:tcPr>
          <w:p w:rsidR="00DC1467" w:rsidRDefault="00B70D3E">
            <w:pPr>
              <w:pStyle w:val="ad"/>
              <w:spacing w:line="240" w:lineRule="auto"/>
              <w:ind w:left="0" w:firstLine="0"/>
              <w:jc w:val="center"/>
              <w:outlineLvl w:val="1"/>
              <w:rPr>
                <w:sz w:val="22"/>
                <w:szCs w:val="22"/>
              </w:rPr>
            </w:pPr>
            <w:r>
              <w:rPr>
                <w:sz w:val="22"/>
                <w:szCs w:val="22"/>
              </w:rPr>
              <w:t>3</w:t>
            </w:r>
          </w:p>
        </w:tc>
        <w:tc>
          <w:tcPr>
            <w:tcW w:w="2413" w:type="dxa"/>
            <w:shd w:val="clear" w:color="FFFFFF" w:fill="FFFFFF"/>
          </w:tcPr>
          <w:p w:rsidR="00DC1467" w:rsidRDefault="00B70D3E">
            <w:pPr>
              <w:pStyle w:val="ConsPlusNormal"/>
              <w:ind w:firstLine="0"/>
              <w:rPr>
                <w:rFonts w:ascii="Times New Roman" w:hAnsi="Times New Roman" w:cs="Times New Roman"/>
                <w:sz w:val="22"/>
                <w:szCs w:val="22"/>
              </w:rPr>
            </w:pPr>
            <w:r>
              <w:rPr>
                <w:rFonts w:ascii="Times New Roman" w:hAnsi="Times New Roman" w:cs="Times New Roman"/>
                <w:sz w:val="22"/>
                <w:szCs w:val="22"/>
              </w:rPr>
              <w:t>Информирование населения автономного округа через средства массовой информации о проводимых мероприятиях в сфере профилактики наркомании</w:t>
            </w:r>
          </w:p>
        </w:tc>
        <w:tc>
          <w:tcPr>
            <w:tcW w:w="6379" w:type="dxa"/>
            <w:shd w:val="clear" w:color="FFFFFF" w:fill="FFFFFF"/>
          </w:tcPr>
          <w:p w:rsidR="00DC1467" w:rsidRDefault="00B70D3E">
            <w:pPr>
              <w:spacing w:line="240" w:lineRule="auto"/>
              <w:ind w:firstLine="0"/>
              <w:outlineLvl w:val="1"/>
              <w:rPr>
                <w:rFonts w:eastAsia="Calibri"/>
                <w:color w:val="000000" w:themeColor="text1"/>
                <w:sz w:val="22"/>
                <w:szCs w:val="22"/>
              </w:rPr>
            </w:pPr>
            <w:r>
              <w:rPr>
                <w:rFonts w:eastAsia="Calibri"/>
                <w:color w:val="000000" w:themeColor="text1"/>
                <w:sz w:val="22"/>
                <w:szCs w:val="22"/>
              </w:rPr>
              <w:t>Депполитики</w:t>
            </w:r>
            <w:r>
              <w:rPr>
                <w:rFonts w:eastAsia="Calibri"/>
                <w:color w:val="000000" w:themeColor="text1"/>
                <w:sz w:val="22"/>
                <w:szCs w:val="22"/>
              </w:rPr>
              <w:t xml:space="preserve"> Югры совместно с окружной телерадиокомпанией «Югра» подготовлены и размещены в эфире телеканала «Югра» ролики с рабочим названием «Дневник наркомана» (хронометраж – 1 мин.) и «Реабилитация наркоманов» (хронометраж – 3 мин.), обеспечено таргетированное про</w:t>
            </w:r>
            <w:r>
              <w:rPr>
                <w:rFonts w:eastAsia="Calibri"/>
                <w:color w:val="000000" w:themeColor="text1"/>
                <w:sz w:val="22"/>
                <w:szCs w:val="22"/>
              </w:rPr>
              <w:t xml:space="preserve">движение социальных роликов в сети «Вконтакте» </w:t>
            </w:r>
            <w:r>
              <w:rPr>
                <w:rFonts w:eastAsia="Calibri"/>
                <w:color w:val="000000" w:themeColor="text1"/>
                <w:sz w:val="22"/>
                <w:szCs w:val="22"/>
              </w:rPr>
              <w:br/>
              <w:t>с охватом населения 200 тысяч человек (</w:t>
            </w:r>
            <w:hyperlink r:id="rId55" w:tooltip="https://vk.com/wall-65718690_8026" w:history="1">
              <w:r>
                <w:rPr>
                  <w:rStyle w:val="aff9"/>
                  <w:rFonts w:eastAsia="Calibri"/>
                  <w:color w:val="000000" w:themeColor="text1"/>
                  <w:sz w:val="22"/>
                  <w:szCs w:val="22"/>
                </w:rPr>
                <w:t>https://vk.com/wall-65718690_8026</w:t>
              </w:r>
            </w:hyperlink>
            <w:r>
              <w:rPr>
                <w:rFonts w:eastAsia="Calibri"/>
                <w:color w:val="000000" w:themeColor="text1"/>
                <w:sz w:val="22"/>
                <w:szCs w:val="22"/>
              </w:rPr>
              <w:t xml:space="preserve"> «Реабилитация наркоманов», </w:t>
            </w:r>
            <w:hyperlink r:id="rId56" w:tooltip="https://vk.com/wall-192914079_844" w:history="1">
              <w:r>
                <w:rPr>
                  <w:rStyle w:val="aff9"/>
                  <w:rFonts w:eastAsia="Calibri"/>
                  <w:color w:val="000000" w:themeColor="text1"/>
                  <w:sz w:val="22"/>
                  <w:szCs w:val="22"/>
                </w:rPr>
                <w:t>https://vk.com/wall-192914079_844</w:t>
              </w:r>
            </w:hyperlink>
            <w:r>
              <w:rPr>
                <w:rFonts w:eastAsia="Calibri"/>
                <w:color w:val="000000" w:themeColor="text1"/>
                <w:sz w:val="22"/>
                <w:szCs w:val="22"/>
              </w:rPr>
              <w:t>  «Дневник наркомана).</w:t>
            </w:r>
          </w:p>
          <w:p w:rsidR="00DC1467" w:rsidRDefault="00B70D3E">
            <w:pPr>
              <w:spacing w:line="240" w:lineRule="auto"/>
              <w:ind w:firstLine="0"/>
              <w:rPr>
                <w:sz w:val="22"/>
                <w:szCs w:val="22"/>
              </w:rPr>
            </w:pPr>
            <w:r>
              <w:rPr>
                <w:rFonts w:eastAsia="Calibri"/>
                <w:color w:val="000000" w:themeColor="text1"/>
                <w:sz w:val="22"/>
                <w:szCs w:val="22"/>
              </w:rPr>
              <w:t xml:space="preserve">Депполитики Югры обеспечивает доступ граждан </w:t>
            </w:r>
            <w:r>
              <w:rPr>
                <w:rFonts w:eastAsia="Calibri"/>
                <w:color w:val="000000" w:themeColor="text1"/>
                <w:sz w:val="22"/>
                <w:szCs w:val="22"/>
              </w:rPr>
              <w:br/>
              <w:t>к социально значимой информации, в том числе антинаркотической направленности.</w:t>
            </w:r>
          </w:p>
          <w:p w:rsidR="00DC1467" w:rsidRDefault="00B70D3E">
            <w:pPr>
              <w:spacing w:line="240" w:lineRule="auto"/>
              <w:ind w:firstLine="0"/>
              <w:rPr>
                <w:sz w:val="22"/>
                <w:szCs w:val="22"/>
              </w:rPr>
            </w:pPr>
            <w:r>
              <w:rPr>
                <w:rFonts w:eastAsia="Calibri"/>
                <w:color w:val="000000" w:themeColor="text1"/>
                <w:sz w:val="22"/>
                <w:szCs w:val="22"/>
              </w:rPr>
              <w:t>По да</w:t>
            </w:r>
            <w:r>
              <w:rPr>
                <w:rFonts w:eastAsia="Calibri"/>
                <w:color w:val="000000" w:themeColor="text1"/>
                <w:sz w:val="22"/>
                <w:szCs w:val="22"/>
              </w:rPr>
              <w:t>нным информационно-аналитической системы «Медиалогия» в СМИ автономного округа в 2024 году размещено 3588 сообщений, касающихся мероприятий антинаркотической направленности, в том числе 133 – в печатных СМИ, 70 – на телевидении, 37 – на радио, 3348 – в инт</w:t>
            </w:r>
            <w:r>
              <w:rPr>
                <w:rFonts w:eastAsia="Calibri"/>
                <w:color w:val="000000" w:themeColor="text1"/>
                <w:sz w:val="22"/>
                <w:szCs w:val="22"/>
              </w:rPr>
              <w:t>ернет-СМИ и на сайтах информагентств.</w:t>
            </w:r>
          </w:p>
          <w:p w:rsidR="00DC1467" w:rsidRDefault="00B70D3E">
            <w:pPr>
              <w:spacing w:line="240" w:lineRule="auto"/>
              <w:ind w:firstLine="0"/>
              <w:rPr>
                <w:sz w:val="22"/>
                <w:szCs w:val="22"/>
              </w:rPr>
            </w:pPr>
            <w:r>
              <w:rPr>
                <w:rFonts w:eastAsia="Calibri"/>
                <w:color w:val="000000" w:themeColor="text1"/>
                <w:sz w:val="22"/>
                <w:szCs w:val="22"/>
              </w:rPr>
              <w:t xml:space="preserve">В социальных сетях организовано размещение постов </w:t>
            </w:r>
            <w:r>
              <w:rPr>
                <w:rFonts w:eastAsia="Calibri"/>
                <w:color w:val="000000" w:themeColor="text1"/>
                <w:sz w:val="22"/>
                <w:szCs w:val="22"/>
              </w:rPr>
              <w:br/>
              <w:t>в официальных сообществах региона и муниципальных образований, в региональных и городских пабликах в социальных сетях «ВКонтакте», «Одноклассники», а также в официальн</w:t>
            </w:r>
            <w:r>
              <w:rPr>
                <w:rFonts w:eastAsia="Calibri"/>
                <w:color w:val="000000" w:themeColor="text1"/>
                <w:sz w:val="22"/>
                <w:szCs w:val="22"/>
              </w:rPr>
              <w:t>ых каналах «Югра. Официально» в мессенджерах «Вайбер» и «Телеграм».</w:t>
            </w:r>
          </w:p>
          <w:p w:rsidR="00DC1467" w:rsidRDefault="00B70D3E">
            <w:pPr>
              <w:spacing w:line="240" w:lineRule="auto"/>
              <w:ind w:firstLine="0"/>
              <w:rPr>
                <w:rFonts w:eastAsia="Calibri"/>
                <w:color w:val="000000" w:themeColor="text1"/>
                <w:sz w:val="22"/>
                <w:szCs w:val="22"/>
              </w:rPr>
            </w:pPr>
            <w:r>
              <w:rPr>
                <w:rFonts w:eastAsia="Calibri"/>
                <w:color w:val="000000" w:themeColor="text1"/>
                <w:sz w:val="22"/>
                <w:szCs w:val="22"/>
              </w:rPr>
              <w:t>Общее количество опубликованных постов в социальных сетях и мессенджерах региона – 146; охват аудитории – свыше 900 тысяч человек. Записи набрали 50 755 просмотров. Социальная реакция (сум</w:t>
            </w:r>
            <w:r>
              <w:rPr>
                <w:rFonts w:eastAsia="Calibri"/>
                <w:color w:val="000000" w:themeColor="text1"/>
                <w:sz w:val="22"/>
                <w:szCs w:val="22"/>
              </w:rPr>
              <w:t>ма репостов, лайков, комментариев) – 258.</w:t>
            </w:r>
          </w:p>
        </w:tc>
      </w:tr>
      <w:tr w:rsidR="00DC1467">
        <w:tc>
          <w:tcPr>
            <w:tcW w:w="672" w:type="dxa"/>
            <w:shd w:val="clear" w:color="FFFFFF" w:fill="FFFFFF"/>
          </w:tcPr>
          <w:p w:rsidR="00DC1467" w:rsidRDefault="00B70D3E">
            <w:pPr>
              <w:pStyle w:val="ad"/>
              <w:spacing w:line="240" w:lineRule="auto"/>
              <w:ind w:left="0" w:firstLine="0"/>
              <w:jc w:val="center"/>
              <w:outlineLvl w:val="1"/>
              <w:rPr>
                <w:color w:val="000000"/>
                <w:sz w:val="22"/>
                <w:szCs w:val="22"/>
              </w:rPr>
            </w:pPr>
            <w:r>
              <w:rPr>
                <w:color w:val="000000"/>
                <w:sz w:val="22"/>
                <w:szCs w:val="22"/>
              </w:rPr>
              <w:t>4</w:t>
            </w:r>
          </w:p>
        </w:tc>
        <w:tc>
          <w:tcPr>
            <w:tcW w:w="2413" w:type="dxa"/>
            <w:shd w:val="clear" w:color="FFFFFF" w:fill="FFFFFF"/>
          </w:tcPr>
          <w:p w:rsidR="00DC1467" w:rsidRDefault="00B70D3E">
            <w:pPr>
              <w:pStyle w:val="ConsPlusNormal"/>
              <w:ind w:firstLine="0"/>
              <w:rPr>
                <w:rFonts w:ascii="Times New Roman" w:hAnsi="Times New Roman" w:cs="Times New Roman"/>
                <w:color w:val="000000"/>
                <w:sz w:val="22"/>
                <w:szCs w:val="22"/>
              </w:rPr>
            </w:pPr>
            <w:r>
              <w:rPr>
                <w:rFonts w:ascii="Times New Roman" w:hAnsi="Times New Roman" w:cs="Times New Roman"/>
                <w:color w:val="000000" w:themeColor="text1"/>
                <w:sz w:val="22"/>
                <w:szCs w:val="22"/>
              </w:rPr>
              <w:t>Организация и проведение конкурса профессионального журналистского мастерства «Журналист года Югры»</w:t>
            </w:r>
          </w:p>
        </w:tc>
        <w:tc>
          <w:tcPr>
            <w:tcW w:w="6379" w:type="dxa"/>
            <w:shd w:val="clear" w:color="FFFFFF" w:fill="FFFFFF"/>
          </w:tcPr>
          <w:p w:rsidR="00DC1467" w:rsidRDefault="00B70D3E">
            <w:pPr>
              <w:spacing w:line="240" w:lineRule="auto"/>
              <w:ind w:firstLine="0"/>
              <w:outlineLvl w:val="1"/>
              <w:rPr>
                <w:sz w:val="22"/>
                <w:szCs w:val="22"/>
              </w:rPr>
            </w:pPr>
            <w:r>
              <w:rPr>
                <w:color w:val="000000" w:themeColor="text1"/>
                <w:sz w:val="22"/>
                <w:szCs w:val="22"/>
              </w:rPr>
              <w:t>В соответствии с положением о ежегодном конкурсе «Журналист года», утвержденном приказом Департамента внутренне</w:t>
            </w:r>
            <w:r>
              <w:rPr>
                <w:color w:val="000000" w:themeColor="text1"/>
                <w:sz w:val="22"/>
                <w:szCs w:val="22"/>
              </w:rPr>
              <w:t xml:space="preserve">й политики автономного округа от 2 ноября 2024 года № 02-ОД-125, заявки принимались по 23 номинациям, в том числе </w:t>
            </w:r>
            <w:r>
              <w:rPr>
                <w:rFonts w:eastAsia="Calibri"/>
                <w:color w:val="000000" w:themeColor="text1"/>
                <w:sz w:val="22"/>
                <w:szCs w:val="22"/>
              </w:rPr>
              <w:t>«Юный журналист года» – за лучшие материалы социальной направленности (антинаркотической, антиалкогольной, антитабачной, пропаганда здорового образа жизни) и материалы, направленные на противодействие распространению идеологии терроризма, подготовленные уч</w:t>
            </w:r>
            <w:r>
              <w:rPr>
                <w:rFonts w:eastAsia="Calibri"/>
                <w:color w:val="000000" w:themeColor="text1"/>
                <w:sz w:val="22"/>
                <w:szCs w:val="22"/>
              </w:rPr>
              <w:t>ащимися 5-11 классов общеобразовательных организаций.</w:t>
            </w:r>
          </w:p>
          <w:p w:rsidR="00DC1467" w:rsidRDefault="00B70D3E">
            <w:pPr>
              <w:spacing w:line="240" w:lineRule="auto"/>
              <w:ind w:firstLine="0"/>
              <w:outlineLvl w:val="1"/>
              <w:rPr>
                <w:color w:val="000000" w:themeColor="text1"/>
                <w:sz w:val="22"/>
                <w:szCs w:val="22"/>
              </w:rPr>
            </w:pPr>
            <w:r>
              <w:rPr>
                <w:color w:val="000000" w:themeColor="text1"/>
                <w:sz w:val="22"/>
                <w:szCs w:val="22"/>
              </w:rPr>
              <w:t xml:space="preserve">Всего в данной номинации поступило 20 заявок. Работы антинаркотической направленности в числе победителей отсутствуют. </w:t>
            </w:r>
          </w:p>
        </w:tc>
      </w:tr>
    </w:tbl>
    <w:p w:rsidR="00DC1467" w:rsidRDefault="00DC1467">
      <w:pPr>
        <w:pStyle w:val="ConsPlusNormal"/>
        <w:rPr>
          <w:sz w:val="28"/>
          <w:szCs w:val="28"/>
        </w:rPr>
      </w:pPr>
    </w:p>
    <w:p w:rsidR="00DC1467" w:rsidRDefault="00B70D3E">
      <w:pPr>
        <w:widowControl w:val="0"/>
        <w:spacing w:line="276" w:lineRule="auto"/>
        <w:ind w:firstLine="709"/>
        <w:rPr>
          <w:b/>
          <w:i/>
        </w:rPr>
      </w:pPr>
      <w:r>
        <w:rPr>
          <w:b/>
          <w:i/>
        </w:rPr>
        <w:t>2. «Профилактика и раннее выявление незаконного потребления наркотиков»</w:t>
      </w:r>
    </w:p>
    <w:p w:rsidR="00DC1467" w:rsidRDefault="00B70D3E">
      <w:pPr>
        <w:widowControl w:val="0"/>
        <w:spacing w:line="276" w:lineRule="auto"/>
        <w:ind w:firstLine="709"/>
      </w:pPr>
      <w:r>
        <w:t>Задачи, решаемые в этом приоритетном направлении:</w:t>
      </w:r>
    </w:p>
    <w:p w:rsidR="00DC1467" w:rsidRDefault="00B70D3E">
      <w:pPr>
        <w:widowControl w:val="0"/>
        <w:spacing w:line="276" w:lineRule="auto"/>
        <w:ind w:firstLine="709"/>
      </w:pPr>
      <w:r>
        <w:t>формирование на общих методологических основаниях системы комплексной антинаркотической профилактической деятельности;</w:t>
      </w:r>
    </w:p>
    <w:p w:rsidR="00DC1467" w:rsidRDefault="00B70D3E">
      <w:pPr>
        <w:widowControl w:val="0"/>
        <w:spacing w:line="276" w:lineRule="auto"/>
        <w:ind w:firstLine="709"/>
      </w:pPr>
      <w:r>
        <w:t>создание с учетом традиционных российских духовно-нравственных и культурных ценностей у</w:t>
      </w:r>
      <w:r>
        <w:t>словий для формирования в обществе осознанного негативного отношения к незаконному потреблению наркотиков.</w:t>
      </w:r>
    </w:p>
    <w:p w:rsidR="00DC1467" w:rsidRDefault="00B70D3E">
      <w:pPr>
        <w:pStyle w:val="ad"/>
        <w:widowControl w:val="0"/>
        <w:spacing w:line="276" w:lineRule="auto"/>
        <w:ind w:left="0" w:firstLine="709"/>
      </w:pPr>
      <w:r>
        <w:t>Меры, обеспечивающие решение указанных задач:</w:t>
      </w:r>
    </w:p>
    <w:p w:rsidR="00DC1467" w:rsidRDefault="00B70D3E">
      <w:pPr>
        <w:widowControl w:val="0"/>
        <w:spacing w:line="276" w:lineRule="auto"/>
        <w:ind w:firstLine="709"/>
      </w:pPr>
      <w:r>
        <w:t xml:space="preserve">развитие инфраструктуры, форм и методов первичной профилактики незаконного потребления наркотиков; </w:t>
      </w:r>
    </w:p>
    <w:p w:rsidR="00DC1467" w:rsidRDefault="00B70D3E">
      <w:pPr>
        <w:widowControl w:val="0"/>
        <w:spacing w:line="276" w:lineRule="auto"/>
        <w:ind w:firstLine="709"/>
      </w:pPr>
      <w:r>
        <w:t>сов</w:t>
      </w:r>
      <w:r>
        <w:t xml:space="preserve">ершенствование педагогических программ и методик профилактики противоправного поведения несовершеннолетних, их включение в электронные образовательные ресурсы; </w:t>
      </w:r>
    </w:p>
    <w:p w:rsidR="00DC1467" w:rsidRDefault="00B70D3E">
      <w:pPr>
        <w:widowControl w:val="0"/>
        <w:spacing w:line="276" w:lineRule="auto"/>
        <w:ind w:firstLine="709"/>
      </w:pPr>
      <w:r>
        <w:t>расширение практики использования универсальных педагогических методик (тренинг, проектная деят</w:t>
      </w:r>
      <w:r>
        <w:t>ельность, другие методики);</w:t>
      </w:r>
    </w:p>
    <w:p w:rsidR="00DC1467" w:rsidRDefault="00B70D3E">
      <w:pPr>
        <w:widowControl w:val="0"/>
        <w:spacing w:line="276" w:lineRule="auto"/>
        <w:ind w:firstLine="709"/>
      </w:pPr>
      <w:r>
        <w:t xml:space="preserve">включение профилактических мероприятий во внеурочную </w:t>
      </w:r>
      <w:r>
        <w:br/>
        <w:t>и воспитательную работу, проекты, практики гражданско-патриотического, духовно-нравственного воспитания граждан, в особенности детей и молодежи;</w:t>
      </w:r>
    </w:p>
    <w:p w:rsidR="00DC1467" w:rsidRDefault="00B70D3E">
      <w:pPr>
        <w:widowControl w:val="0"/>
        <w:spacing w:line="276" w:lineRule="auto"/>
        <w:ind w:firstLine="709"/>
      </w:pPr>
      <w:r>
        <w:t>привлечение внимания в образо</w:t>
      </w:r>
      <w:r>
        <w:t>вательных организациях духовно-нравственному воспитанию, формирующему у обучающихся устойчивое неприятие незаконного потребления наркотиков;</w:t>
      </w:r>
    </w:p>
    <w:p w:rsidR="00DC1467" w:rsidRDefault="00B70D3E">
      <w:pPr>
        <w:widowControl w:val="0"/>
        <w:spacing w:line="276" w:lineRule="auto"/>
        <w:ind w:firstLine="709"/>
      </w:pPr>
      <w:r>
        <w:t>внедрение механизмов обязательной экспертизы профилактических программ, реализуемых общественными и некоммерческими</w:t>
      </w:r>
      <w:r>
        <w:t xml:space="preserve"> организациями;</w:t>
      </w:r>
    </w:p>
    <w:p w:rsidR="00DC1467" w:rsidRDefault="00B70D3E">
      <w:pPr>
        <w:widowControl w:val="0"/>
        <w:spacing w:line="276" w:lineRule="auto"/>
        <w:ind w:firstLine="709"/>
      </w:pPr>
      <w:r>
        <w:t xml:space="preserve">активное привлечение добровольцев (волонтеров) к участию </w:t>
      </w:r>
      <w:r>
        <w:br/>
        <w:t>в реализации антинаркотической политики;</w:t>
      </w:r>
    </w:p>
    <w:p w:rsidR="00DC1467" w:rsidRDefault="00B70D3E">
      <w:pPr>
        <w:widowControl w:val="0"/>
        <w:spacing w:line="276" w:lineRule="auto"/>
        <w:ind w:firstLine="709"/>
      </w:pPr>
      <w:r>
        <w:t>совершенствование механизма раннего выявления незаконного потребления наркотиков в образовательных организациях, создание условий для максима</w:t>
      </w:r>
      <w:r>
        <w:t>льного охвата обучающихся мероприятиями по раннему выявлению незаконного потребления наркотиков;</w:t>
      </w:r>
    </w:p>
    <w:p w:rsidR="00DC1467" w:rsidRDefault="00B70D3E">
      <w:pPr>
        <w:widowControl w:val="0"/>
        <w:spacing w:line="276" w:lineRule="auto"/>
        <w:ind w:firstLine="709"/>
      </w:pPr>
      <w:r>
        <w:t>организация сотрудничества со средствами массовой информации по вопросам антинаркотической пропаганды, направленного на повышение уровня осведомленности гражда</w:t>
      </w:r>
      <w:r>
        <w:t>н, в первую очередь несовершеннолетних и их родителей (законных представителей), о рисках, связанных с незаконным потреблением наркотиков, и последствиях такого потребления;</w:t>
      </w:r>
    </w:p>
    <w:p w:rsidR="00DC1467" w:rsidRDefault="00B70D3E">
      <w:pPr>
        <w:widowControl w:val="0"/>
        <w:spacing w:line="276" w:lineRule="auto"/>
        <w:ind w:firstLine="709"/>
      </w:pPr>
      <w:r>
        <w:t>осуществление мониторинга и анализа эффективности информационно-просветительских п</w:t>
      </w:r>
      <w:r>
        <w:t>рограмм, направленных на содействие реализации антинаркотической политики.</w:t>
      </w:r>
    </w:p>
    <w:p w:rsidR="00DC1467" w:rsidRDefault="00B70D3E">
      <w:pPr>
        <w:widowControl w:val="0"/>
        <w:spacing w:line="276" w:lineRule="auto"/>
        <w:jc w:val="center"/>
      </w:pPr>
      <w:r>
        <w:t>Информация о реализации указанного приоритетного направления:</w:t>
      </w:r>
    </w:p>
    <w:p w:rsidR="00DC1467" w:rsidRDefault="00DC1467">
      <w:pPr>
        <w:tabs>
          <w:tab w:val="left" w:pos="540"/>
        </w:tabs>
        <w:spacing w:line="276" w:lineRule="auto"/>
        <w:ind w:firstLine="0"/>
      </w:pPr>
    </w:p>
    <w:tbl>
      <w:tblPr>
        <w:tblStyle w:val="ac"/>
        <w:tblW w:w="0" w:type="auto"/>
        <w:tblLook w:val="04A0" w:firstRow="1" w:lastRow="0" w:firstColumn="1" w:lastColumn="0" w:noHBand="0" w:noVBand="1"/>
      </w:tblPr>
      <w:tblGrid>
        <w:gridCol w:w="581"/>
        <w:gridCol w:w="2788"/>
        <w:gridCol w:w="6201"/>
      </w:tblGrid>
      <w:tr w:rsidR="00DC1467">
        <w:trPr>
          <w:tblHeader/>
        </w:trPr>
        <w:tc>
          <w:tcPr>
            <w:tcW w:w="581" w:type="dxa"/>
            <w:shd w:val="clear" w:color="auto" w:fill="auto"/>
            <w:vAlign w:val="center"/>
          </w:tcPr>
          <w:p w:rsidR="00DC1467" w:rsidRDefault="00B70D3E">
            <w:pPr>
              <w:spacing w:line="240" w:lineRule="auto"/>
              <w:ind w:firstLine="0"/>
              <w:jc w:val="center"/>
              <w:outlineLvl w:val="1"/>
              <w:rPr>
                <w:sz w:val="22"/>
                <w:szCs w:val="22"/>
              </w:rPr>
            </w:pPr>
            <w:r>
              <w:rPr>
                <w:sz w:val="22"/>
                <w:szCs w:val="22"/>
              </w:rPr>
              <w:t>№ п/п</w:t>
            </w:r>
          </w:p>
        </w:tc>
        <w:tc>
          <w:tcPr>
            <w:tcW w:w="2788" w:type="dxa"/>
            <w:shd w:val="clear" w:color="auto" w:fill="auto"/>
            <w:vAlign w:val="center"/>
          </w:tcPr>
          <w:p w:rsidR="00DC1467" w:rsidRDefault="00B70D3E">
            <w:pPr>
              <w:spacing w:line="240" w:lineRule="auto"/>
              <w:ind w:firstLine="0"/>
              <w:jc w:val="center"/>
              <w:rPr>
                <w:sz w:val="22"/>
                <w:szCs w:val="22"/>
              </w:rPr>
            </w:pPr>
            <w:r>
              <w:rPr>
                <w:sz w:val="22"/>
                <w:szCs w:val="22"/>
              </w:rPr>
              <w:t>Мероприятия</w:t>
            </w:r>
          </w:p>
        </w:tc>
        <w:tc>
          <w:tcPr>
            <w:tcW w:w="6201" w:type="dxa"/>
            <w:shd w:val="clear" w:color="auto" w:fill="auto"/>
            <w:vAlign w:val="center"/>
          </w:tcPr>
          <w:p w:rsidR="00DC1467" w:rsidRDefault="00B70D3E">
            <w:pPr>
              <w:tabs>
                <w:tab w:val="left" w:pos="540"/>
              </w:tabs>
              <w:spacing w:line="240" w:lineRule="auto"/>
              <w:ind w:firstLine="0"/>
              <w:jc w:val="center"/>
              <w:rPr>
                <w:sz w:val="22"/>
                <w:szCs w:val="22"/>
              </w:rPr>
            </w:pPr>
            <w:r>
              <w:rPr>
                <w:sz w:val="22"/>
                <w:szCs w:val="22"/>
              </w:rPr>
              <w:t>Информация о реализации</w:t>
            </w:r>
          </w:p>
        </w:tc>
      </w:tr>
      <w:tr w:rsidR="00DC1467">
        <w:tc>
          <w:tcPr>
            <w:tcW w:w="581" w:type="dxa"/>
            <w:shd w:val="clear" w:color="auto" w:fill="auto"/>
          </w:tcPr>
          <w:p w:rsidR="00DC1467" w:rsidRDefault="00B70D3E">
            <w:pPr>
              <w:spacing w:line="240" w:lineRule="auto"/>
              <w:ind w:firstLine="0"/>
              <w:jc w:val="center"/>
              <w:outlineLvl w:val="1"/>
              <w:rPr>
                <w:sz w:val="22"/>
                <w:szCs w:val="22"/>
              </w:rPr>
            </w:pPr>
            <w:r>
              <w:rPr>
                <w:sz w:val="22"/>
                <w:szCs w:val="22"/>
              </w:rPr>
              <w:t>1</w:t>
            </w:r>
          </w:p>
        </w:tc>
        <w:tc>
          <w:tcPr>
            <w:tcW w:w="2788" w:type="dxa"/>
            <w:shd w:val="clear" w:color="auto" w:fill="auto"/>
          </w:tcPr>
          <w:p w:rsidR="00DC1467" w:rsidRDefault="00B70D3E">
            <w:pPr>
              <w:pStyle w:val="ConsPlusNormal"/>
              <w:ind w:firstLine="0"/>
              <w:rPr>
                <w:rFonts w:ascii="Times New Roman" w:hAnsi="Times New Roman" w:cs="Times New Roman"/>
                <w:sz w:val="22"/>
                <w:szCs w:val="22"/>
              </w:rPr>
            </w:pPr>
            <w:r>
              <w:rPr>
                <w:rFonts w:ascii="Times New Roman" w:hAnsi="Times New Roman" w:cs="Times New Roman"/>
                <w:sz w:val="22"/>
                <w:szCs w:val="22"/>
              </w:rPr>
              <w:t>Создание условий для деятельности субъектов профилактики наркомании</w:t>
            </w:r>
          </w:p>
        </w:tc>
        <w:tc>
          <w:tcPr>
            <w:tcW w:w="6201" w:type="dxa"/>
            <w:shd w:val="clear" w:color="auto" w:fill="auto"/>
          </w:tcPr>
          <w:p w:rsidR="00DC1467" w:rsidRDefault="00B70D3E">
            <w:pPr>
              <w:spacing w:line="240" w:lineRule="auto"/>
              <w:ind w:firstLine="0"/>
              <w:outlineLvl w:val="1"/>
              <w:rPr>
                <w:sz w:val="22"/>
                <w:szCs w:val="22"/>
              </w:rPr>
            </w:pPr>
            <w:r>
              <w:rPr>
                <w:bCs/>
                <w:sz w:val="22"/>
                <w:szCs w:val="22"/>
              </w:rPr>
              <w:t>По государственной программе Ханты-Мансийского автономного округа – Югры «Безопасность жизнедеятельности и профилактика правонарушений»</w:t>
            </w:r>
            <w:r>
              <w:rPr>
                <w:sz w:val="22"/>
                <w:szCs w:val="22"/>
              </w:rPr>
              <w:t xml:space="preserve"> в 2024 году в рамках подпрограммы 2 "Профилактика правонарушений, незаконного оборота и потребления наркотических средст</w:t>
            </w:r>
            <w:r>
              <w:rPr>
                <w:sz w:val="22"/>
                <w:szCs w:val="22"/>
              </w:rPr>
              <w:t>в и психотропных веществ" комплекса процессных мероприятий 2.1 «Профилактика правонарушений и обеспечение защиты прав потребителей» реализуются мероприятия по противодействию злоупотреблению наркотиками и их незаконному обороту, осуществлено обновление мет</w:t>
            </w:r>
            <w:r>
              <w:rPr>
                <w:sz w:val="22"/>
                <w:szCs w:val="22"/>
              </w:rPr>
              <w:t xml:space="preserve">одического обеспечения для анализа биологических объектов, включающего библиотеки масс-спектров с временами хроматографического удержания, с использованием газового хроматографа с масс-селективным детектором и высокоэффективного жидкостного хроматографа с </w:t>
            </w:r>
            <w:r>
              <w:rPr>
                <w:sz w:val="22"/>
                <w:szCs w:val="22"/>
              </w:rPr>
              <w:t>тандемным масс-спектрометрическим детектором в пяти специализированных психоневрологических больницах автономного округа; приобретены: медицинское оборудование (Анализатор для фотофиксации и анализа иммунохроматографических экспресс-тестов «АМ-900») в коли</w:t>
            </w:r>
            <w:r>
              <w:rPr>
                <w:sz w:val="22"/>
                <w:szCs w:val="22"/>
              </w:rPr>
              <w:t>честве 2 шт., реагенты медицинские диагностические для раннего выявления наркотических и психотропных веществ в количестве 1682 шт., реагенты медицинские диагностические (</w:t>
            </w:r>
            <w:r>
              <w:rPr>
                <w:bCs/>
                <w:sz w:val="22"/>
                <w:szCs w:val="22"/>
              </w:rPr>
              <w:t>одноразовая тест-панель погружного типа</w:t>
            </w:r>
            <w:r>
              <w:rPr>
                <w:sz w:val="22"/>
                <w:szCs w:val="22"/>
              </w:rPr>
              <w:t xml:space="preserve"> для определения 13 видов наркотических вещест</w:t>
            </w:r>
            <w:r>
              <w:rPr>
                <w:sz w:val="22"/>
                <w:szCs w:val="22"/>
              </w:rPr>
              <w:t>в и их метаболитов (Амфетамин, Барбитураты, Бензодиазепины, Кокаин, Этилглюкуронид, Синтетические каннабиноиды, Метилендиоксиметамфетамин, Катионы, Метамфетамин, Метадон, Опиаты, Фенциклидин, Марихуана).</w:t>
            </w:r>
          </w:p>
        </w:tc>
      </w:tr>
      <w:tr w:rsidR="00DC1467">
        <w:tc>
          <w:tcPr>
            <w:tcW w:w="581" w:type="dxa"/>
            <w:shd w:val="clear" w:color="auto" w:fill="auto"/>
          </w:tcPr>
          <w:p w:rsidR="00DC1467" w:rsidRDefault="00B70D3E">
            <w:pPr>
              <w:spacing w:line="240" w:lineRule="auto"/>
              <w:ind w:firstLine="0"/>
              <w:jc w:val="center"/>
              <w:outlineLvl w:val="1"/>
              <w:rPr>
                <w:sz w:val="22"/>
                <w:szCs w:val="22"/>
              </w:rPr>
            </w:pPr>
            <w:r>
              <w:rPr>
                <w:sz w:val="22"/>
                <w:szCs w:val="22"/>
              </w:rPr>
              <w:t>2</w:t>
            </w:r>
          </w:p>
        </w:tc>
        <w:tc>
          <w:tcPr>
            <w:tcW w:w="2788" w:type="dxa"/>
            <w:shd w:val="clear" w:color="auto" w:fill="auto"/>
          </w:tcPr>
          <w:p w:rsidR="00DC1467" w:rsidRDefault="00B70D3E">
            <w:pPr>
              <w:pStyle w:val="ConsPlusNormal"/>
              <w:ind w:firstLine="0"/>
              <w:rPr>
                <w:rFonts w:ascii="Times New Roman" w:hAnsi="Times New Roman" w:cs="Times New Roman"/>
                <w:sz w:val="22"/>
                <w:szCs w:val="22"/>
              </w:rPr>
            </w:pPr>
            <w:r>
              <w:rPr>
                <w:rFonts w:ascii="Times New Roman" w:hAnsi="Times New Roman" w:cs="Times New Roman"/>
                <w:sz w:val="22"/>
                <w:szCs w:val="22"/>
              </w:rPr>
              <w:t>Развитие системы воспитания, профилактика правонарушений среди несовершеннолетних</w:t>
            </w:r>
          </w:p>
        </w:tc>
        <w:tc>
          <w:tcPr>
            <w:tcW w:w="6201" w:type="dxa"/>
            <w:shd w:val="clear" w:color="auto" w:fill="auto"/>
          </w:tcPr>
          <w:p w:rsidR="00DC1467" w:rsidRDefault="00B70D3E">
            <w:pPr>
              <w:spacing w:line="240" w:lineRule="auto"/>
              <w:ind w:firstLine="0"/>
              <w:outlineLvl w:val="1"/>
              <w:rPr>
                <w:sz w:val="22"/>
                <w:szCs w:val="22"/>
              </w:rPr>
            </w:pPr>
            <w:r>
              <w:rPr>
                <w:sz w:val="22"/>
                <w:szCs w:val="22"/>
              </w:rPr>
              <w:t>По государственной программе ХМАО-Югры «Развитие образования» в 2024 году в рамках комплекса процессных мероприятий 3.4. "Содействие развитию дополнительного образования дете</w:t>
            </w:r>
            <w:r>
              <w:rPr>
                <w:sz w:val="22"/>
                <w:szCs w:val="22"/>
              </w:rPr>
              <w:t>й, воспитания", реализуется мероприятие по противодействию злоупотреблению наркотиками и их незаконному обороту. Приобретены расходные материалы (реактивов) для системы капиллярного электрофореза многофункциональной MiniCap в количестве 2 набора для опреде</w:t>
            </w:r>
            <w:r>
              <w:rPr>
                <w:sz w:val="22"/>
                <w:szCs w:val="22"/>
              </w:rPr>
              <w:t>ления состояний употребления алкоголя, реагенты медицинские диагностические погружного типа для выявления наркотических веществ в количестве 1452 шт., реагенты медицинские диагностические на определение антигенов к ВИЧ/гепатитам В и С в количестве 32 набор</w:t>
            </w:r>
            <w:r>
              <w:rPr>
                <w:sz w:val="22"/>
                <w:szCs w:val="22"/>
              </w:rPr>
              <w:t>а для раннего выявления незаконного потребления наркотиков и иных токсических психоактивных веществ, а также профилактики гемоконтактных инфекций, которые переданы в Военный комиссариат ХМАО-Югры.</w:t>
            </w:r>
          </w:p>
        </w:tc>
      </w:tr>
      <w:tr w:rsidR="00DC1467">
        <w:tc>
          <w:tcPr>
            <w:tcW w:w="581" w:type="dxa"/>
            <w:shd w:val="clear" w:color="auto" w:fill="auto"/>
          </w:tcPr>
          <w:p w:rsidR="00DC1467" w:rsidRDefault="00B70D3E">
            <w:pPr>
              <w:spacing w:line="240" w:lineRule="auto"/>
              <w:ind w:firstLine="0"/>
              <w:jc w:val="center"/>
              <w:outlineLvl w:val="1"/>
              <w:rPr>
                <w:sz w:val="22"/>
                <w:szCs w:val="22"/>
              </w:rPr>
            </w:pPr>
            <w:r>
              <w:rPr>
                <w:sz w:val="22"/>
                <w:szCs w:val="22"/>
              </w:rPr>
              <w:t>3</w:t>
            </w:r>
          </w:p>
        </w:tc>
        <w:tc>
          <w:tcPr>
            <w:tcW w:w="2788" w:type="dxa"/>
            <w:shd w:val="clear" w:color="auto" w:fill="auto"/>
          </w:tcPr>
          <w:p w:rsidR="00DC1467" w:rsidRDefault="00B70D3E">
            <w:pPr>
              <w:pStyle w:val="ConsPlusNormal"/>
              <w:ind w:firstLine="0"/>
              <w:rPr>
                <w:rFonts w:ascii="Times New Roman" w:hAnsi="Times New Roman" w:cs="Times New Roman"/>
                <w:sz w:val="22"/>
                <w:szCs w:val="22"/>
              </w:rPr>
            </w:pPr>
            <w:r>
              <w:rPr>
                <w:rFonts w:ascii="Times New Roman" w:hAnsi="Times New Roman" w:cs="Times New Roman"/>
                <w:sz w:val="22"/>
                <w:szCs w:val="22"/>
              </w:rPr>
              <w:t>Развитие системы медицинской профилактики неинфекционных заболеваний и формирования здорового образа жизни, в том числе у детей. Профилактика развития зависимостей, включая сокращение потребления табака, алкоголя, НС и ПАВ, в том числе у детей, включая про</w:t>
            </w:r>
            <w:r>
              <w:rPr>
                <w:rFonts w:ascii="Times New Roman" w:hAnsi="Times New Roman" w:cs="Times New Roman"/>
                <w:sz w:val="22"/>
                <w:szCs w:val="22"/>
              </w:rPr>
              <w:t>филактические мероприятия с участием лиц, эпизодически употребляющих ПАВ</w:t>
            </w:r>
          </w:p>
        </w:tc>
        <w:tc>
          <w:tcPr>
            <w:tcW w:w="6201" w:type="dxa"/>
            <w:shd w:val="clear" w:color="auto" w:fill="auto"/>
          </w:tcPr>
          <w:p w:rsidR="00DC1467" w:rsidRDefault="00B70D3E">
            <w:pPr>
              <w:spacing w:line="240" w:lineRule="auto"/>
              <w:ind w:firstLine="0"/>
              <w:rPr>
                <w:sz w:val="22"/>
                <w:szCs w:val="22"/>
              </w:rPr>
            </w:pPr>
            <w:r>
              <w:rPr>
                <w:sz w:val="22"/>
                <w:szCs w:val="22"/>
              </w:rPr>
              <w:t>Для реализации мероприятий по формированию здорового образа жизни на территории автономного округа сформирована система медицинской профилактики, включающая: Центр общественного здоро</w:t>
            </w:r>
            <w:r>
              <w:rPr>
                <w:sz w:val="22"/>
                <w:szCs w:val="22"/>
              </w:rPr>
              <w:t xml:space="preserve">вья и медицинской профилактики) с 3 филиалами в городах: Сургут, Нижневартовск и Нефтеюганск, 5 центров здоровья (в том числе 3 центра здоровья для детского населения). </w:t>
            </w:r>
          </w:p>
          <w:p w:rsidR="00DC1467" w:rsidRDefault="00B70D3E">
            <w:pPr>
              <w:spacing w:line="240" w:lineRule="auto"/>
              <w:ind w:firstLine="0"/>
              <w:rPr>
                <w:sz w:val="22"/>
                <w:szCs w:val="22"/>
              </w:rPr>
            </w:pPr>
            <w:r>
              <w:rPr>
                <w:sz w:val="22"/>
                <w:szCs w:val="22"/>
              </w:rPr>
              <w:t>Кроме того, в медицинских организациях автономного округа функционирует 19 отделений и</w:t>
            </w:r>
            <w:r>
              <w:rPr>
                <w:sz w:val="22"/>
                <w:szCs w:val="22"/>
              </w:rPr>
              <w:t xml:space="preserve"> 35 кабинетов медицинской профилактики, на базе 26 медицинских организаций созданы и функционируют кабинеты помощи при отказе от курения.</w:t>
            </w:r>
          </w:p>
          <w:p w:rsidR="00DC1467" w:rsidRDefault="00B70D3E">
            <w:pPr>
              <w:spacing w:line="240" w:lineRule="auto"/>
              <w:ind w:firstLine="0"/>
              <w:rPr>
                <w:sz w:val="22"/>
                <w:szCs w:val="22"/>
              </w:rPr>
            </w:pPr>
            <w:r>
              <w:rPr>
                <w:sz w:val="22"/>
                <w:szCs w:val="22"/>
              </w:rPr>
              <w:t>В рамках формирования единого медиапространства по пропаганде здорового образа жизни в автономном округе применяются п</w:t>
            </w:r>
            <w:r>
              <w:rPr>
                <w:sz w:val="22"/>
                <w:szCs w:val="22"/>
              </w:rPr>
              <w:t>ринципы: информационного обеспечения деятельности медицинских организаций, информационной открытости и формирование через средства массовой информации объективного общественного мнения.</w:t>
            </w:r>
          </w:p>
          <w:p w:rsidR="00DC1467" w:rsidRDefault="00B70D3E">
            <w:pPr>
              <w:spacing w:line="240" w:lineRule="auto"/>
              <w:ind w:firstLine="0"/>
              <w:rPr>
                <w:sz w:val="22"/>
                <w:szCs w:val="22"/>
              </w:rPr>
            </w:pPr>
            <w:r>
              <w:rPr>
                <w:sz w:val="22"/>
                <w:szCs w:val="22"/>
              </w:rPr>
              <w:t>Согласно мониторингу информационного сопровождения деятельности систем</w:t>
            </w:r>
            <w:r>
              <w:rPr>
                <w:sz w:val="22"/>
                <w:szCs w:val="22"/>
              </w:rPr>
              <w:t>ы здравоохранения автономного округа, в 2024 году по профилактике развития зависимостей, включая сокращение потребления табака, алкоголя, наркотических средств и психоактивных веществ, в том числе у детей инициировано 2 636 информационных повода.</w:t>
            </w:r>
          </w:p>
          <w:p w:rsidR="00DC1467" w:rsidRDefault="00B70D3E">
            <w:pPr>
              <w:spacing w:line="240" w:lineRule="auto"/>
              <w:ind w:firstLine="0"/>
              <w:rPr>
                <w:sz w:val="22"/>
                <w:szCs w:val="22"/>
              </w:rPr>
            </w:pPr>
            <w:r>
              <w:rPr>
                <w:sz w:val="22"/>
                <w:szCs w:val="22"/>
              </w:rPr>
              <w:t xml:space="preserve">Ежегодно </w:t>
            </w:r>
            <w:r>
              <w:rPr>
                <w:sz w:val="22"/>
                <w:szCs w:val="22"/>
              </w:rPr>
              <w:t>Центр общественного здоровья и медицинской профилактики издает и распространяет по муниципальным образованиям округа полиграфическую продукцию профилактической направленности. Так в 2024 году напечатано 7 наименований полиграфической продукции, общим тираж</w:t>
            </w:r>
            <w:r>
              <w:rPr>
                <w:sz w:val="22"/>
                <w:szCs w:val="22"/>
              </w:rPr>
              <w:t xml:space="preserve">ом – 101 000 экз., в том числе листовка «Пора бросить курить!». </w:t>
            </w:r>
          </w:p>
          <w:p w:rsidR="00DC1467" w:rsidRDefault="00B70D3E">
            <w:pPr>
              <w:spacing w:line="240" w:lineRule="auto"/>
              <w:ind w:firstLine="0"/>
              <w:rPr>
                <w:sz w:val="22"/>
                <w:szCs w:val="22"/>
              </w:rPr>
            </w:pPr>
            <w:r>
              <w:rPr>
                <w:sz w:val="22"/>
                <w:szCs w:val="22"/>
              </w:rPr>
              <w:t>В соответствии с приказом Департамента здравоохранения Ханты-Мансийского автономного округа – Югры от 22.12.2023 № 2047 «О проведении региональных тематических недель по профилактике заболева</w:t>
            </w:r>
            <w:r>
              <w:rPr>
                <w:sz w:val="22"/>
                <w:szCs w:val="22"/>
              </w:rPr>
              <w:t xml:space="preserve">ний и пропаганде здорового образа жизни в Ханты-Мансийском автономном округе – Югре в 2024 году» в Югре с 26.02.2024 по 03.03.2024 проведена Неделя профилактики употребления наркотических средств, с 11.03.2024 по 17.03.2024 – Неделя по борьбе с заражением </w:t>
            </w:r>
            <w:r>
              <w:rPr>
                <w:sz w:val="22"/>
                <w:szCs w:val="22"/>
              </w:rPr>
              <w:t>и распространение хронического вирусного гепатита С, с 24.06.2024 по 30.06.2024 – Неделя профилактики употребления наркотических средств. В рамках тематических недель организуются обучающие мероприятия для медицинских работников (научно-практические семина</w:t>
            </w:r>
            <w:r>
              <w:rPr>
                <w:sz w:val="22"/>
                <w:szCs w:val="22"/>
              </w:rPr>
              <w:t>ры и лекции для медицинских работников), профилактические мероприятия для населения (лекции, беседы, акции, и др.), разрабатывается тематическая инфографика и размещается в медицинских, образовательных и социальных организациях, проводятся профилактические</w:t>
            </w:r>
            <w:r>
              <w:rPr>
                <w:sz w:val="22"/>
                <w:szCs w:val="22"/>
              </w:rPr>
              <w:t xml:space="preserve"> мероприятия для корпоративного сектора, публикуются интервью или выступления главных региональных специалистов по теме, позитивные новости и посты  в социальных сетях.</w:t>
            </w:r>
          </w:p>
          <w:p w:rsidR="00DC1467" w:rsidRDefault="00B70D3E">
            <w:pPr>
              <w:tabs>
                <w:tab w:val="left" w:pos="559"/>
              </w:tabs>
              <w:spacing w:line="240" w:lineRule="auto"/>
              <w:ind w:firstLine="0"/>
              <w:outlineLvl w:val="1"/>
              <w:rPr>
                <w:sz w:val="22"/>
                <w:szCs w:val="22"/>
              </w:rPr>
            </w:pPr>
            <w:r>
              <w:rPr>
                <w:sz w:val="22"/>
                <w:szCs w:val="22"/>
              </w:rPr>
              <w:t xml:space="preserve">Кроме того, в рамках реализации плана основных мероприятий </w:t>
            </w:r>
            <w:r>
              <w:rPr>
                <w:sz w:val="22"/>
                <w:szCs w:val="22"/>
              </w:rPr>
              <w:t>по профилактике заболеваний и формированию здорового образа в медицинских организациях автономного округа на регулярной основе проводится обширная профилактическая работа, в том числе направленная на профилактику вредных привычек. По предварительным данным</w:t>
            </w:r>
            <w:r>
              <w:rPr>
                <w:sz w:val="22"/>
                <w:szCs w:val="22"/>
              </w:rPr>
              <w:t xml:space="preserve"> в 2024 году специалистам медицинских организаций автономного округа на тему «Профилактика вредных привычек (курение, употребление алкоголя, потребление наркотических и психоактивных веществ»  прочитана 2 691 лекция, число слушателей 53 484 чел, 95 721 бес</w:t>
            </w:r>
            <w:r>
              <w:rPr>
                <w:sz w:val="22"/>
                <w:szCs w:val="22"/>
              </w:rPr>
              <w:t>ед, число участников 210 344 чел., 29 семинаров, число участников 675 чел., 33 тренинга, число участников 1 155 чел., 302 урока здоровья для дошкольников и школьников, число участников 10 483 чел., 1086 кинодемонстраций, число зрителей 29 689 чел., 506 мас</w:t>
            </w:r>
            <w:r>
              <w:rPr>
                <w:sz w:val="22"/>
                <w:szCs w:val="22"/>
              </w:rPr>
              <w:t>совых мероприятий (акции, круглые столы, флешмобы, конкурсы, викторины и др.) общее число участников 99 736 чел., размещено 2 503 средств наглядной агитации, распространено 105 907 экз. тематической печатной продукции.</w:t>
            </w:r>
          </w:p>
        </w:tc>
      </w:tr>
      <w:tr w:rsidR="00DC1467">
        <w:tc>
          <w:tcPr>
            <w:tcW w:w="581" w:type="dxa"/>
            <w:shd w:val="clear" w:color="auto" w:fill="auto"/>
          </w:tcPr>
          <w:p w:rsidR="00DC1467" w:rsidRDefault="00B70D3E">
            <w:pPr>
              <w:spacing w:line="240" w:lineRule="auto"/>
              <w:ind w:firstLine="0"/>
              <w:jc w:val="center"/>
              <w:outlineLvl w:val="1"/>
              <w:rPr>
                <w:sz w:val="22"/>
                <w:szCs w:val="22"/>
              </w:rPr>
            </w:pPr>
            <w:r>
              <w:rPr>
                <w:sz w:val="22"/>
                <w:szCs w:val="22"/>
              </w:rPr>
              <w:t>4</w:t>
            </w:r>
          </w:p>
        </w:tc>
        <w:tc>
          <w:tcPr>
            <w:tcW w:w="2788" w:type="dxa"/>
            <w:shd w:val="clear" w:color="auto" w:fill="auto"/>
          </w:tcPr>
          <w:p w:rsidR="00DC1467" w:rsidRDefault="00B70D3E">
            <w:pPr>
              <w:pStyle w:val="ConsPlusNormal"/>
              <w:ind w:firstLine="0"/>
              <w:rPr>
                <w:rFonts w:ascii="Times New Roman" w:hAnsi="Times New Roman" w:cs="Times New Roman"/>
                <w:sz w:val="22"/>
                <w:szCs w:val="22"/>
              </w:rPr>
            </w:pPr>
            <w:r>
              <w:rPr>
                <w:rFonts w:ascii="Times New Roman" w:hAnsi="Times New Roman" w:cs="Times New Roman"/>
                <w:sz w:val="22"/>
                <w:szCs w:val="22"/>
              </w:rPr>
              <w:t>Реализация мероприятий по профилак</w:t>
            </w:r>
            <w:r>
              <w:rPr>
                <w:rFonts w:ascii="Times New Roman" w:hAnsi="Times New Roman" w:cs="Times New Roman"/>
                <w:sz w:val="22"/>
                <w:szCs w:val="22"/>
              </w:rPr>
              <w:t>тике незаконного потребления наркотических средств и психотропных веществ, наркомании</w:t>
            </w:r>
          </w:p>
        </w:tc>
        <w:tc>
          <w:tcPr>
            <w:tcW w:w="6201" w:type="dxa"/>
            <w:shd w:val="clear" w:color="auto" w:fill="auto"/>
          </w:tcPr>
          <w:p w:rsidR="00DC1467" w:rsidRDefault="00B70D3E">
            <w:pPr>
              <w:spacing w:line="240" w:lineRule="auto"/>
              <w:ind w:firstLine="0"/>
              <w:rPr>
                <w:sz w:val="22"/>
                <w:szCs w:val="22"/>
              </w:rPr>
            </w:pPr>
            <w:r>
              <w:rPr>
                <w:sz w:val="22"/>
                <w:szCs w:val="22"/>
              </w:rPr>
              <w:t>Мероприятия по профилактике незаконного потребления наркотических средств и психотропных веществ, наркомании, осуществляется в виде профилактического медицинского вмешате</w:t>
            </w:r>
            <w:r>
              <w:rPr>
                <w:sz w:val="22"/>
                <w:szCs w:val="22"/>
              </w:rPr>
              <w:t>льства на основе межведомственного многоуровневого взаимодействия и дифференцированного подхода среди разных возрастных групп населения.</w:t>
            </w:r>
          </w:p>
          <w:p w:rsidR="00DC1467" w:rsidRDefault="00B70D3E">
            <w:pPr>
              <w:spacing w:line="240" w:lineRule="auto"/>
              <w:ind w:firstLine="0"/>
              <w:rPr>
                <w:sz w:val="22"/>
                <w:szCs w:val="22"/>
              </w:rPr>
            </w:pPr>
            <w:r>
              <w:rPr>
                <w:sz w:val="22"/>
                <w:szCs w:val="22"/>
              </w:rPr>
              <w:t>Практическая направленность профилактических действий в современных условиях учитывает факторы риска развития наркологи</w:t>
            </w:r>
            <w:r>
              <w:rPr>
                <w:sz w:val="22"/>
                <w:szCs w:val="22"/>
              </w:rPr>
              <w:t>ческих расстройств в различных возрастных группах, таких как: генетические, психологические и социо-культурные.</w:t>
            </w:r>
          </w:p>
          <w:p w:rsidR="00DC1467" w:rsidRDefault="00B70D3E">
            <w:pPr>
              <w:spacing w:line="240" w:lineRule="auto"/>
              <w:ind w:firstLine="0"/>
              <w:rPr>
                <w:sz w:val="22"/>
                <w:szCs w:val="22"/>
              </w:rPr>
            </w:pPr>
            <w:r>
              <w:rPr>
                <w:sz w:val="22"/>
                <w:szCs w:val="22"/>
              </w:rPr>
              <w:t>Основными направлениями, реализуемыми системой здравоохранения автономного округа в рамках профилактического медицинского вмешательства среди на</w:t>
            </w:r>
            <w:r>
              <w:rPr>
                <w:sz w:val="22"/>
                <w:szCs w:val="22"/>
              </w:rPr>
              <w:t>селения на принципах здорового образа жизни, являются:</w:t>
            </w:r>
          </w:p>
          <w:p w:rsidR="00DC1467" w:rsidRDefault="00B70D3E">
            <w:pPr>
              <w:spacing w:line="240" w:lineRule="auto"/>
              <w:ind w:firstLine="0"/>
              <w:rPr>
                <w:sz w:val="22"/>
                <w:szCs w:val="22"/>
              </w:rPr>
            </w:pPr>
            <w:r>
              <w:rPr>
                <w:sz w:val="22"/>
                <w:szCs w:val="22"/>
              </w:rPr>
              <w:t>- повышение уровня осведомленности населения о негативных последствиях немедицинского потребления наркотиков и других психоактивных веществ;</w:t>
            </w:r>
          </w:p>
          <w:p w:rsidR="00DC1467" w:rsidRDefault="00B70D3E">
            <w:pPr>
              <w:spacing w:line="240" w:lineRule="auto"/>
              <w:ind w:firstLine="0"/>
              <w:rPr>
                <w:sz w:val="22"/>
                <w:szCs w:val="22"/>
              </w:rPr>
            </w:pPr>
            <w:r>
              <w:rPr>
                <w:sz w:val="22"/>
                <w:szCs w:val="22"/>
              </w:rPr>
              <w:t>- развитие системы раннего выявления незаконных потребителей</w:t>
            </w:r>
            <w:r>
              <w:rPr>
                <w:sz w:val="22"/>
                <w:szCs w:val="22"/>
              </w:rPr>
              <w:t xml:space="preserve"> наркотиков и других психоактивных веществ;</w:t>
            </w:r>
          </w:p>
          <w:p w:rsidR="00DC1467" w:rsidRDefault="00B70D3E">
            <w:pPr>
              <w:spacing w:line="240" w:lineRule="auto"/>
              <w:ind w:firstLine="0"/>
              <w:rPr>
                <w:sz w:val="22"/>
                <w:szCs w:val="22"/>
              </w:rPr>
            </w:pPr>
            <w:r>
              <w:rPr>
                <w:sz w:val="22"/>
                <w:szCs w:val="22"/>
              </w:rPr>
              <w:t>- организация и проведение профилактических мероприятий с группами риска возникновения наркологических заболеваний;</w:t>
            </w:r>
          </w:p>
          <w:p w:rsidR="00DC1467" w:rsidRDefault="00B70D3E">
            <w:pPr>
              <w:spacing w:line="240" w:lineRule="auto"/>
              <w:ind w:firstLine="0"/>
              <w:rPr>
                <w:sz w:val="22"/>
                <w:szCs w:val="22"/>
              </w:rPr>
            </w:pPr>
            <w:r>
              <w:rPr>
                <w:sz w:val="22"/>
                <w:szCs w:val="22"/>
              </w:rPr>
              <w:t>- организация профилактической работы в организованных (образовательных) коллективах;</w:t>
            </w:r>
          </w:p>
          <w:p w:rsidR="00DC1467" w:rsidRDefault="00B70D3E">
            <w:pPr>
              <w:spacing w:line="240" w:lineRule="auto"/>
              <w:ind w:firstLine="0"/>
              <w:rPr>
                <w:sz w:val="22"/>
                <w:szCs w:val="22"/>
              </w:rPr>
            </w:pPr>
            <w:r>
              <w:rPr>
                <w:sz w:val="22"/>
                <w:szCs w:val="22"/>
              </w:rPr>
              <w:t>- формиров</w:t>
            </w:r>
            <w:r>
              <w:rPr>
                <w:sz w:val="22"/>
                <w:szCs w:val="22"/>
              </w:rPr>
              <w:t>ание психологического иммунитета к потреблению наркотиков, и других психоактивных веществ у детей школьного возраста, их родителей и учителей;</w:t>
            </w:r>
          </w:p>
          <w:p w:rsidR="00DC1467" w:rsidRDefault="00B70D3E">
            <w:pPr>
              <w:spacing w:line="240" w:lineRule="auto"/>
              <w:ind w:firstLine="0"/>
              <w:rPr>
                <w:sz w:val="22"/>
                <w:szCs w:val="22"/>
              </w:rPr>
            </w:pPr>
            <w:r>
              <w:rPr>
                <w:sz w:val="22"/>
                <w:szCs w:val="22"/>
              </w:rPr>
              <w:t>- формирование навыков здорового образа жизни.</w:t>
            </w:r>
          </w:p>
          <w:p w:rsidR="00DC1467" w:rsidRDefault="00B70D3E">
            <w:pPr>
              <w:spacing w:line="240" w:lineRule="auto"/>
              <w:ind w:firstLine="0"/>
              <w:rPr>
                <w:sz w:val="22"/>
                <w:szCs w:val="22"/>
              </w:rPr>
            </w:pPr>
            <w:r>
              <w:rPr>
                <w:sz w:val="22"/>
                <w:szCs w:val="22"/>
              </w:rPr>
              <w:t>Кроме того, реализуются следующие перспективные мероприятия в системе здравоохранения автономного округа:</w:t>
            </w:r>
          </w:p>
          <w:p w:rsidR="00DC1467" w:rsidRDefault="00B70D3E">
            <w:pPr>
              <w:spacing w:line="240" w:lineRule="auto"/>
              <w:ind w:firstLine="0"/>
              <w:rPr>
                <w:sz w:val="22"/>
                <w:szCs w:val="22"/>
              </w:rPr>
            </w:pPr>
            <w:r>
              <w:rPr>
                <w:sz w:val="22"/>
                <w:szCs w:val="22"/>
              </w:rPr>
              <w:t xml:space="preserve">- единая система контроля качества химико-токсикологических исследований по определению психоактивных веществ, при методической поддержке федеральных </w:t>
            </w:r>
            <w:r>
              <w:rPr>
                <w:sz w:val="22"/>
                <w:szCs w:val="22"/>
              </w:rPr>
              <w:t>научно-исследовательских центров в данной области;</w:t>
            </w:r>
          </w:p>
          <w:p w:rsidR="00DC1467" w:rsidRDefault="00B70D3E">
            <w:pPr>
              <w:spacing w:line="240" w:lineRule="auto"/>
              <w:ind w:firstLine="0"/>
              <w:rPr>
                <w:sz w:val="22"/>
                <w:szCs w:val="22"/>
              </w:rPr>
            </w:pPr>
            <w:r>
              <w:rPr>
                <w:sz w:val="22"/>
                <w:szCs w:val="22"/>
              </w:rPr>
              <w:t>- формирование системы профилактического медицинского вмешательства, направленного на просвещение населения о факторах риска развития наркологических расстройств и по вопросам поддержки приверженности к ве</w:t>
            </w:r>
            <w:r>
              <w:rPr>
                <w:sz w:val="22"/>
                <w:szCs w:val="22"/>
              </w:rPr>
              <w:t>дению здорового образа жизни, включающее в себя распознавание состояний или установление факта наличия либо отсутствия наркологических расстройств;</w:t>
            </w:r>
          </w:p>
          <w:p w:rsidR="00DC1467" w:rsidRDefault="00B70D3E">
            <w:pPr>
              <w:spacing w:line="240" w:lineRule="auto"/>
              <w:ind w:firstLine="0"/>
              <w:rPr>
                <w:sz w:val="22"/>
                <w:szCs w:val="22"/>
              </w:rPr>
            </w:pPr>
            <w:r>
              <w:rPr>
                <w:sz w:val="22"/>
                <w:szCs w:val="22"/>
              </w:rPr>
              <w:t>- телемедицинские консультации.</w:t>
            </w:r>
          </w:p>
        </w:tc>
      </w:tr>
      <w:tr w:rsidR="00DC1467">
        <w:tc>
          <w:tcPr>
            <w:tcW w:w="581" w:type="dxa"/>
            <w:shd w:val="clear" w:color="auto" w:fill="auto"/>
          </w:tcPr>
          <w:p w:rsidR="00DC1467" w:rsidRDefault="00B70D3E">
            <w:pPr>
              <w:spacing w:line="240" w:lineRule="auto"/>
              <w:ind w:firstLine="0"/>
              <w:jc w:val="center"/>
              <w:outlineLvl w:val="1"/>
              <w:rPr>
                <w:sz w:val="22"/>
                <w:szCs w:val="22"/>
              </w:rPr>
            </w:pPr>
            <w:r>
              <w:rPr>
                <w:sz w:val="22"/>
                <w:szCs w:val="22"/>
              </w:rPr>
              <w:t>5</w:t>
            </w:r>
          </w:p>
        </w:tc>
        <w:tc>
          <w:tcPr>
            <w:tcW w:w="2788" w:type="dxa"/>
            <w:shd w:val="clear" w:color="auto" w:fill="auto"/>
          </w:tcPr>
          <w:p w:rsidR="00DC1467" w:rsidRDefault="00B70D3E">
            <w:pPr>
              <w:pStyle w:val="ConsPlusNormal"/>
              <w:ind w:firstLine="0"/>
              <w:rPr>
                <w:rFonts w:ascii="Times New Roman" w:hAnsi="Times New Roman" w:cs="Times New Roman"/>
                <w:sz w:val="22"/>
                <w:szCs w:val="22"/>
              </w:rPr>
            </w:pPr>
            <w:r>
              <w:rPr>
                <w:rFonts w:ascii="Times New Roman" w:hAnsi="Times New Roman" w:cs="Times New Roman"/>
                <w:sz w:val="22"/>
                <w:szCs w:val="22"/>
              </w:rPr>
              <w:t>Совершенствование системы оказания медицинской помощи больным туберкулезо</w:t>
            </w:r>
            <w:r>
              <w:rPr>
                <w:rFonts w:ascii="Times New Roman" w:hAnsi="Times New Roman" w:cs="Times New Roman"/>
                <w:sz w:val="22"/>
                <w:szCs w:val="22"/>
              </w:rPr>
              <w:t>м, включая мероприятия профилактической направленности</w:t>
            </w:r>
          </w:p>
        </w:tc>
        <w:tc>
          <w:tcPr>
            <w:tcW w:w="6201" w:type="dxa"/>
            <w:shd w:val="clear" w:color="auto" w:fill="auto"/>
          </w:tcPr>
          <w:p w:rsidR="00DC1467" w:rsidRDefault="00B70D3E">
            <w:pPr>
              <w:spacing w:line="240" w:lineRule="auto"/>
              <w:ind w:firstLine="0"/>
              <w:rPr>
                <w:sz w:val="22"/>
                <w:szCs w:val="22"/>
              </w:rPr>
            </w:pPr>
            <w:r>
              <w:rPr>
                <w:sz w:val="22"/>
                <w:szCs w:val="22"/>
              </w:rPr>
              <w:t>Осуществляются мероприятия по приобретению современных лекарственных препаратов и расходных материалов, диагностических средств для выявления, определения чувствительности микобактерии туберкулеза и мо</w:t>
            </w:r>
            <w:r>
              <w:rPr>
                <w:sz w:val="22"/>
                <w:szCs w:val="22"/>
              </w:rPr>
              <w:t>ниторинга лечения лиц, больных туберкулезом с множественной лекарственной устойчивостью возбудителя, а также медицинских изделий в соответствии со стандартом оснащения, предусмотренным порядком оказания медицинской помощи больным туберкулезом.</w:t>
            </w:r>
          </w:p>
          <w:p w:rsidR="00DC1467" w:rsidRDefault="00B70D3E">
            <w:pPr>
              <w:tabs>
                <w:tab w:val="left" w:pos="484"/>
              </w:tabs>
              <w:spacing w:line="240" w:lineRule="auto"/>
              <w:ind w:firstLine="0"/>
              <w:outlineLvl w:val="1"/>
              <w:rPr>
                <w:sz w:val="22"/>
                <w:szCs w:val="22"/>
              </w:rPr>
            </w:pPr>
            <w:r>
              <w:rPr>
                <w:sz w:val="22"/>
                <w:szCs w:val="22"/>
              </w:rPr>
              <w:t>Обеспечивает</w:t>
            </w:r>
            <w:r>
              <w:rPr>
                <w:sz w:val="22"/>
                <w:szCs w:val="22"/>
              </w:rPr>
              <w:t>ся деятельность (оказания услуг, выполнения работ) государственных учреждений по профилю «фтизиатрия».</w:t>
            </w:r>
          </w:p>
        </w:tc>
      </w:tr>
    </w:tbl>
    <w:p w:rsidR="00DC1467" w:rsidRDefault="00DC1467">
      <w:pPr>
        <w:tabs>
          <w:tab w:val="left" w:pos="540"/>
        </w:tabs>
        <w:spacing w:line="276" w:lineRule="auto"/>
        <w:ind w:firstLine="709"/>
      </w:pPr>
    </w:p>
    <w:p w:rsidR="00DC1467" w:rsidRDefault="00B70D3E">
      <w:pPr>
        <w:tabs>
          <w:tab w:val="left" w:pos="540"/>
        </w:tabs>
        <w:spacing w:line="276" w:lineRule="auto"/>
        <w:ind w:firstLine="709"/>
        <w:rPr>
          <w:b/>
          <w:i/>
        </w:rPr>
      </w:pPr>
      <w:r>
        <w:rPr>
          <w:b/>
          <w:i/>
        </w:rPr>
        <w:t>3. «Сокращение числа лиц, у которых диагностированы наркомания или пагубное (с негативными последствиями) потребление наркотиков»</w:t>
      </w:r>
    </w:p>
    <w:p w:rsidR="00DC1467" w:rsidRDefault="00B70D3E">
      <w:pPr>
        <w:tabs>
          <w:tab w:val="left" w:pos="540"/>
        </w:tabs>
        <w:spacing w:line="276" w:lineRule="auto"/>
        <w:ind w:firstLine="709"/>
      </w:pPr>
      <w:r>
        <w:t>Задачи, решаемые в этом приоритетном направлении:</w:t>
      </w:r>
    </w:p>
    <w:p w:rsidR="00DC1467" w:rsidRDefault="00B70D3E">
      <w:pPr>
        <w:tabs>
          <w:tab w:val="left" w:pos="540"/>
          <w:tab w:val="left" w:pos="992"/>
        </w:tabs>
        <w:spacing w:line="276" w:lineRule="auto"/>
        <w:ind w:firstLine="709"/>
      </w:pPr>
      <w:r>
        <w:t>повышение эффективности функционирования наркологической службы, предупреждение случаев незаконного лечения больных наркоманией;</w:t>
      </w:r>
    </w:p>
    <w:p w:rsidR="00DC1467" w:rsidRDefault="00B70D3E">
      <w:pPr>
        <w:tabs>
          <w:tab w:val="left" w:pos="540"/>
          <w:tab w:val="left" w:pos="992"/>
        </w:tabs>
        <w:spacing w:line="276" w:lineRule="auto"/>
        <w:ind w:firstLine="709"/>
      </w:pPr>
      <w:r>
        <w:t>повышение доступности для наркопотребителей профилактики, диагностики и лечен</w:t>
      </w:r>
      <w:r>
        <w:t>ия инфекционных заболеваний (ВИЧ-инфекции, вирусных гепатитов, туберкулеза, инфекций, передающихся половым путем);</w:t>
      </w:r>
    </w:p>
    <w:p w:rsidR="00DC1467" w:rsidRDefault="00B70D3E">
      <w:pPr>
        <w:tabs>
          <w:tab w:val="left" w:pos="540"/>
          <w:tab w:val="left" w:pos="992"/>
        </w:tabs>
        <w:spacing w:line="276" w:lineRule="auto"/>
        <w:ind w:firstLine="709"/>
      </w:pPr>
      <w:r>
        <w:t xml:space="preserve">повышение доступности социальной реабилитации и ресоциализации для наркопотребителей, включая лиц, освободившихся из мест лишения свободы, и </w:t>
      </w:r>
      <w:r>
        <w:t>лиц без определенного места жительства.</w:t>
      </w:r>
    </w:p>
    <w:p w:rsidR="00DC1467" w:rsidRDefault="00B70D3E">
      <w:pPr>
        <w:tabs>
          <w:tab w:val="left" w:pos="540"/>
          <w:tab w:val="left" w:pos="992"/>
        </w:tabs>
        <w:spacing w:line="276" w:lineRule="auto"/>
        <w:ind w:firstLine="709"/>
      </w:pPr>
      <w:r>
        <w:t>Меры, обеспечивающие решение указанных задач:</w:t>
      </w:r>
    </w:p>
    <w:p w:rsidR="00DC1467" w:rsidRDefault="00B70D3E">
      <w:pPr>
        <w:tabs>
          <w:tab w:val="left" w:pos="540"/>
          <w:tab w:val="left" w:pos="992"/>
        </w:tabs>
        <w:spacing w:line="276" w:lineRule="auto"/>
        <w:ind w:firstLine="709"/>
      </w:pPr>
      <w:r>
        <w:t>сохранение и комплексное развитие государственной наркологической службы, в том числе совершенствование материально-технической базы медицинских организаций наркологическ</w:t>
      </w:r>
      <w:r>
        <w:t>ого профиля и подразделений наркологического профиля в медицинских организациях общего профиля, поддержание деятельности медицинских реабилитационных центров и отделений;</w:t>
      </w:r>
    </w:p>
    <w:p w:rsidR="00DC1467" w:rsidRDefault="00B70D3E">
      <w:pPr>
        <w:tabs>
          <w:tab w:val="left" w:pos="540"/>
          <w:tab w:val="left" w:pos="992"/>
        </w:tabs>
        <w:spacing w:line="276" w:lineRule="auto"/>
        <w:ind w:firstLine="709"/>
      </w:pPr>
      <w:r>
        <w:t>совершенствование методов профилактики и диагностики незаконного потребления наркотик</w:t>
      </w:r>
      <w:r>
        <w:t>ов и наркомании, а также лечения и медицинской реабилитации больных наркоманией, в том числе обеспечение взаимодействия медицинских организаций с организациями, осуществляющими мероприятия по социальной реабилитации и ресоциализации наркопотребителей;</w:t>
      </w:r>
    </w:p>
    <w:p w:rsidR="00DC1467" w:rsidRDefault="00B70D3E">
      <w:pPr>
        <w:tabs>
          <w:tab w:val="left" w:pos="540"/>
          <w:tab w:val="left" w:pos="992"/>
        </w:tabs>
        <w:spacing w:line="276" w:lineRule="auto"/>
        <w:ind w:firstLine="709"/>
      </w:pPr>
      <w:r>
        <w:t>сове</w:t>
      </w:r>
      <w:r>
        <w:t>ршенствование раннего выявления (на уровне первичного звена здравоохранения) незаконного потребления наркотиков и лекарственных препаратов с психоактивным действием;</w:t>
      </w:r>
    </w:p>
    <w:p w:rsidR="00DC1467" w:rsidRDefault="00B70D3E">
      <w:pPr>
        <w:tabs>
          <w:tab w:val="left" w:pos="540"/>
          <w:tab w:val="left" w:pos="992"/>
        </w:tabs>
        <w:spacing w:line="276" w:lineRule="auto"/>
        <w:ind w:firstLine="709"/>
      </w:pPr>
      <w:r>
        <w:t>внедрение программ профилактики социально значимых инфекционных заболеваний среди наркопот</w:t>
      </w:r>
      <w:r>
        <w:t>ребителей;</w:t>
      </w:r>
    </w:p>
    <w:p w:rsidR="00DC1467" w:rsidRDefault="00B70D3E">
      <w:pPr>
        <w:tabs>
          <w:tab w:val="left" w:pos="540"/>
          <w:tab w:val="left" w:pos="992"/>
        </w:tabs>
        <w:spacing w:line="276" w:lineRule="auto"/>
        <w:ind w:firstLine="709"/>
      </w:pPr>
      <w:r>
        <w:t>развитие системы социальной реабилитации, а также ресоциализации наркопотребителей;</w:t>
      </w:r>
    </w:p>
    <w:p w:rsidR="00DC1467" w:rsidRDefault="00B70D3E">
      <w:pPr>
        <w:tabs>
          <w:tab w:val="left" w:pos="540"/>
          <w:tab w:val="left" w:pos="992"/>
        </w:tabs>
        <w:spacing w:line="276" w:lineRule="auto"/>
        <w:ind w:firstLine="709"/>
      </w:pPr>
      <w:r>
        <w:t>развитие с участием негосударственных организаций системы ресоциализации наркопотребителей</w:t>
      </w:r>
      <w:r>
        <w:t>, создание условий для эффективной деятельности негосударственных организаций, оказывающих услуги в сфере социальной реабилитации наркопотребителей;</w:t>
      </w:r>
    </w:p>
    <w:p w:rsidR="00DC1467" w:rsidRDefault="00B70D3E">
      <w:pPr>
        <w:tabs>
          <w:tab w:val="left" w:pos="540"/>
          <w:tab w:val="left" w:pos="992"/>
        </w:tabs>
        <w:spacing w:line="276" w:lineRule="auto"/>
        <w:ind w:firstLine="709"/>
      </w:pPr>
      <w:r>
        <w:t>недопущение применения в автономном округе методов заместительной терапии при лечении наркомании (использов</w:t>
      </w:r>
      <w:r>
        <w:t>ание наркотиков), легализации рекреационного потребления наркотиков, а также неоправданного расширения применения наркотических анальгетиков;</w:t>
      </w:r>
    </w:p>
    <w:p w:rsidR="00DC1467" w:rsidRDefault="00B70D3E">
      <w:pPr>
        <w:tabs>
          <w:tab w:val="left" w:pos="540"/>
          <w:tab w:val="left" w:pos="992"/>
        </w:tabs>
        <w:spacing w:line="276" w:lineRule="auto"/>
        <w:ind w:firstLine="709"/>
      </w:pPr>
      <w:r>
        <w:t>сокращение количества отравления людей и снижение уровня смертности населения в результате незаконного потребления</w:t>
      </w:r>
      <w:r>
        <w:t xml:space="preserve"> наркотиков.</w:t>
      </w:r>
    </w:p>
    <w:p w:rsidR="00DC1467" w:rsidRDefault="00B70D3E">
      <w:pPr>
        <w:tabs>
          <w:tab w:val="left" w:pos="540"/>
        </w:tabs>
        <w:spacing w:line="276" w:lineRule="auto"/>
        <w:ind w:firstLine="709"/>
      </w:pPr>
      <w:r>
        <w:t>Информация о реализации указанного приоритетного направления:</w:t>
      </w:r>
    </w:p>
    <w:p w:rsidR="00DC1467" w:rsidRDefault="00DC1467">
      <w:pPr>
        <w:tabs>
          <w:tab w:val="left" w:pos="540"/>
        </w:tabs>
        <w:spacing w:line="276" w:lineRule="auto"/>
        <w:ind w:firstLine="709"/>
      </w:pPr>
    </w:p>
    <w:tbl>
      <w:tblPr>
        <w:tblStyle w:val="ac"/>
        <w:tblW w:w="0" w:type="auto"/>
        <w:tblLook w:val="04A0" w:firstRow="1" w:lastRow="0" w:firstColumn="1" w:lastColumn="0" w:noHBand="0" w:noVBand="1"/>
      </w:tblPr>
      <w:tblGrid>
        <w:gridCol w:w="589"/>
        <w:gridCol w:w="2780"/>
        <w:gridCol w:w="6138"/>
      </w:tblGrid>
      <w:tr w:rsidR="00DC1467">
        <w:trPr>
          <w:tblHeader/>
        </w:trPr>
        <w:tc>
          <w:tcPr>
            <w:tcW w:w="589" w:type="dxa"/>
            <w:vAlign w:val="center"/>
          </w:tcPr>
          <w:p w:rsidR="00DC1467" w:rsidRDefault="00B70D3E">
            <w:pPr>
              <w:spacing w:line="235" w:lineRule="auto"/>
              <w:ind w:firstLine="0"/>
              <w:jc w:val="center"/>
              <w:outlineLvl w:val="1"/>
              <w:rPr>
                <w:sz w:val="22"/>
                <w:szCs w:val="22"/>
              </w:rPr>
            </w:pPr>
            <w:r>
              <w:rPr>
                <w:sz w:val="22"/>
                <w:szCs w:val="22"/>
              </w:rPr>
              <w:t>№ п/п</w:t>
            </w:r>
          </w:p>
        </w:tc>
        <w:tc>
          <w:tcPr>
            <w:tcW w:w="2780" w:type="dxa"/>
            <w:vAlign w:val="center"/>
          </w:tcPr>
          <w:p w:rsidR="00DC1467" w:rsidRDefault="00B70D3E">
            <w:pPr>
              <w:spacing w:line="235" w:lineRule="auto"/>
              <w:ind w:firstLine="0"/>
              <w:jc w:val="center"/>
              <w:rPr>
                <w:sz w:val="22"/>
                <w:szCs w:val="22"/>
              </w:rPr>
            </w:pPr>
            <w:r>
              <w:rPr>
                <w:sz w:val="22"/>
                <w:szCs w:val="22"/>
              </w:rPr>
              <w:t>Мероприятия</w:t>
            </w:r>
          </w:p>
        </w:tc>
        <w:tc>
          <w:tcPr>
            <w:tcW w:w="6138" w:type="dxa"/>
            <w:vAlign w:val="center"/>
          </w:tcPr>
          <w:p w:rsidR="00DC1467" w:rsidRDefault="00B70D3E">
            <w:pPr>
              <w:tabs>
                <w:tab w:val="left" w:pos="540"/>
              </w:tabs>
              <w:spacing w:line="235" w:lineRule="auto"/>
              <w:ind w:firstLine="0"/>
              <w:jc w:val="center"/>
              <w:rPr>
                <w:sz w:val="22"/>
                <w:szCs w:val="22"/>
              </w:rPr>
            </w:pPr>
            <w:r>
              <w:rPr>
                <w:sz w:val="22"/>
                <w:szCs w:val="22"/>
              </w:rPr>
              <w:t>Информация о реализации</w:t>
            </w:r>
          </w:p>
        </w:tc>
      </w:tr>
      <w:tr w:rsidR="00DC1467">
        <w:tc>
          <w:tcPr>
            <w:tcW w:w="589" w:type="dxa"/>
          </w:tcPr>
          <w:p w:rsidR="00DC1467" w:rsidRDefault="00B70D3E">
            <w:pPr>
              <w:spacing w:line="235" w:lineRule="auto"/>
              <w:ind w:firstLine="0"/>
              <w:jc w:val="center"/>
              <w:outlineLvl w:val="1"/>
              <w:rPr>
                <w:sz w:val="22"/>
                <w:szCs w:val="22"/>
              </w:rPr>
            </w:pPr>
            <w:r>
              <w:rPr>
                <w:sz w:val="22"/>
                <w:szCs w:val="22"/>
              </w:rPr>
              <w:t>1</w:t>
            </w:r>
          </w:p>
        </w:tc>
        <w:tc>
          <w:tcPr>
            <w:tcW w:w="2780" w:type="dxa"/>
          </w:tcPr>
          <w:p w:rsidR="00DC1467" w:rsidRDefault="00B70D3E">
            <w:pPr>
              <w:pStyle w:val="ConsPlusNormal"/>
              <w:spacing w:line="235" w:lineRule="auto"/>
              <w:ind w:firstLine="0"/>
              <w:jc w:val="both"/>
              <w:rPr>
                <w:rFonts w:ascii="Times New Roman" w:hAnsi="Times New Roman" w:cs="Times New Roman"/>
                <w:sz w:val="22"/>
                <w:szCs w:val="22"/>
              </w:rPr>
            </w:pPr>
            <w:r>
              <w:rPr>
                <w:rFonts w:ascii="Times New Roman" w:hAnsi="Times New Roman" w:cs="Times New Roman"/>
                <w:sz w:val="22"/>
                <w:szCs w:val="22"/>
              </w:rPr>
              <w:t>Развитие системы раннего выявления незаконных потребителей наркотиков среди детей и молодежи</w:t>
            </w:r>
          </w:p>
        </w:tc>
        <w:tc>
          <w:tcPr>
            <w:tcW w:w="6138" w:type="dxa"/>
          </w:tcPr>
          <w:p w:rsidR="00DC1467" w:rsidRDefault="00B70D3E">
            <w:pPr>
              <w:spacing w:line="235" w:lineRule="auto"/>
              <w:ind w:firstLine="0"/>
              <w:rPr>
                <w:sz w:val="22"/>
                <w:szCs w:val="22"/>
              </w:rPr>
            </w:pPr>
            <w:r>
              <w:rPr>
                <w:bCs/>
                <w:sz w:val="22"/>
                <w:szCs w:val="22"/>
              </w:rPr>
              <w:t>По государственной программы</w:t>
            </w:r>
            <w:r>
              <w:rPr>
                <w:bCs/>
                <w:sz w:val="22"/>
                <w:szCs w:val="22"/>
              </w:rPr>
              <w:t xml:space="preserve"> Ханты-Мансийского автономного округа – Югры «Безопасность жизнедеятельности и профилактика правонарушений»</w:t>
            </w:r>
            <w:r>
              <w:rPr>
                <w:sz w:val="22"/>
                <w:szCs w:val="22"/>
              </w:rPr>
              <w:t xml:space="preserve"> подпрограммы 2 «Профилактика правонарушений, незаконного оборота и потребления наркотических средств и психотропных веществ» комплекса процессных ме</w:t>
            </w:r>
            <w:r>
              <w:rPr>
                <w:sz w:val="22"/>
                <w:szCs w:val="22"/>
              </w:rPr>
              <w:t>роприятий 2.1 «Профилактика правонарушений и обеспечение защиты прав потребителей».</w:t>
            </w:r>
          </w:p>
          <w:p w:rsidR="00DC1467" w:rsidRDefault="00B70D3E">
            <w:pPr>
              <w:spacing w:line="235" w:lineRule="auto"/>
              <w:ind w:firstLine="0"/>
              <w:rPr>
                <w:sz w:val="22"/>
                <w:szCs w:val="22"/>
              </w:rPr>
            </w:pPr>
            <w:r>
              <w:rPr>
                <w:sz w:val="22"/>
                <w:szCs w:val="22"/>
              </w:rPr>
              <w:t>Осуществлено обновление методического обеспечения для анализа биологических объектов, включающего библиотеки масс-спектров с временами хроматографического удержания, с испо</w:t>
            </w:r>
            <w:r>
              <w:rPr>
                <w:sz w:val="22"/>
                <w:szCs w:val="22"/>
              </w:rPr>
              <w:t>льзованием газового хроматографа с масс-селективным детектором и высокоэффективного жидкостного хроматографа с тандемным масс-спектрометрическим детектором в пяти специализированных психоневрологических больницах автономного округа приобретены: медицинское</w:t>
            </w:r>
            <w:r>
              <w:rPr>
                <w:sz w:val="22"/>
                <w:szCs w:val="22"/>
              </w:rPr>
              <w:t xml:space="preserve"> оборудование (Анализатор для фотофиксации и анализа иммунохроматографических экспресс-тестов «АМ-900») в количестве 2 шт., реагенты медицинские диагностические для раннего выявления наркотических и психотропных веществ в количестве 1682 шт., реагенты меди</w:t>
            </w:r>
            <w:r>
              <w:rPr>
                <w:sz w:val="22"/>
                <w:szCs w:val="22"/>
              </w:rPr>
              <w:t>цинские диагностические (</w:t>
            </w:r>
            <w:r>
              <w:rPr>
                <w:bCs/>
                <w:sz w:val="22"/>
                <w:szCs w:val="22"/>
              </w:rPr>
              <w:t>одноразовая тест-панель погружного типа)</w:t>
            </w:r>
            <w:r>
              <w:rPr>
                <w:sz w:val="22"/>
                <w:szCs w:val="22"/>
              </w:rPr>
              <w:t xml:space="preserve"> для определения 13 видов наркотических веществ и их метаболитов (Амфетамин, Барбитураты, Бензодиазепины, Кокаин, Этилглюкуронид, Синтетические каннабиноиды, Метилендиоксиметамфетамин, Катион</w:t>
            </w:r>
            <w:r>
              <w:rPr>
                <w:sz w:val="22"/>
                <w:szCs w:val="22"/>
              </w:rPr>
              <w:t>ы, Метамфетамин, Метадон, Опиаты, Фенциклидин, Марихуана).</w:t>
            </w:r>
          </w:p>
          <w:p w:rsidR="00DC1467" w:rsidRDefault="00B70D3E">
            <w:pPr>
              <w:spacing w:line="235" w:lineRule="auto"/>
              <w:ind w:firstLine="0"/>
              <w:rPr>
                <w:sz w:val="22"/>
                <w:szCs w:val="22"/>
              </w:rPr>
            </w:pPr>
            <w:r>
              <w:rPr>
                <w:sz w:val="22"/>
                <w:szCs w:val="22"/>
              </w:rPr>
              <w:t>Взаимодействие системы здравоохранения с системой образования Югры в соответствии с современной нормативной базой включает ранее выявление незаконного потребления наркотических средств и психотропн</w:t>
            </w:r>
            <w:r>
              <w:rPr>
                <w:sz w:val="22"/>
                <w:szCs w:val="22"/>
              </w:rPr>
              <w:t>ых веществ среди обучающихся.</w:t>
            </w:r>
          </w:p>
          <w:p w:rsidR="00DC1467" w:rsidRDefault="00B70D3E">
            <w:pPr>
              <w:spacing w:line="235" w:lineRule="auto"/>
              <w:ind w:firstLine="0"/>
              <w:rPr>
                <w:sz w:val="22"/>
                <w:szCs w:val="22"/>
              </w:rPr>
            </w:pPr>
            <w:r>
              <w:rPr>
                <w:sz w:val="22"/>
                <w:szCs w:val="22"/>
              </w:rPr>
              <w:t>С учетом современной нормативной базой в 2023-2024 учебному году для прохождения профилактических медицинских осмотров были сформированы календарные планы в отношении 3 462 обучающихся, количество обучающихся, прошедших профил</w:t>
            </w:r>
            <w:r>
              <w:rPr>
                <w:sz w:val="22"/>
                <w:szCs w:val="22"/>
              </w:rPr>
              <w:t>актические медицинские осмотры составило 2 213 человека (63,9 % от числа включенных в календарные планы).</w:t>
            </w:r>
          </w:p>
          <w:p w:rsidR="00DC1467" w:rsidRDefault="00B70D3E">
            <w:pPr>
              <w:spacing w:line="235" w:lineRule="auto"/>
              <w:ind w:firstLine="0"/>
              <w:rPr>
                <w:sz w:val="22"/>
                <w:szCs w:val="22"/>
              </w:rPr>
            </w:pPr>
            <w:r>
              <w:rPr>
                <w:sz w:val="22"/>
                <w:szCs w:val="22"/>
              </w:rPr>
              <w:t>По уважительным причинам не прошли профилактические медицинские осмотры (по болезни, в связи с непрерывностью образовательного процесса, отчисленные и</w:t>
            </w:r>
            <w:r>
              <w:rPr>
                <w:sz w:val="22"/>
                <w:szCs w:val="22"/>
              </w:rPr>
              <w:t xml:space="preserve">з-за неуспеваемости) 217 обучающихся (6,3 % от числа включенных в календарные планы). Не прошли профилактические медицинские осмотры в связи с отказом – 1 034 человека (29,8 % от числа включенных в календарные планы). </w:t>
            </w:r>
          </w:p>
          <w:p w:rsidR="00DC1467" w:rsidRDefault="00B70D3E">
            <w:pPr>
              <w:spacing w:line="235" w:lineRule="auto"/>
              <w:ind w:firstLine="0"/>
              <w:rPr>
                <w:sz w:val="22"/>
                <w:szCs w:val="22"/>
              </w:rPr>
            </w:pPr>
            <w:r>
              <w:rPr>
                <w:sz w:val="22"/>
                <w:szCs w:val="22"/>
              </w:rPr>
              <w:t>На этапе медицинского осмотра с обуча</w:t>
            </w:r>
            <w:r>
              <w:rPr>
                <w:sz w:val="22"/>
                <w:szCs w:val="22"/>
              </w:rPr>
              <w:t>ющимися проводится профилактическая информационно-разъяснительная беседа по вопросам незаконного потребления наркотических средств и психотропных веществ.</w:t>
            </w:r>
          </w:p>
          <w:p w:rsidR="00DC1467" w:rsidRDefault="00B70D3E">
            <w:pPr>
              <w:spacing w:line="235" w:lineRule="auto"/>
              <w:ind w:firstLine="0"/>
              <w:rPr>
                <w:rFonts w:eastAsia="Calibri"/>
                <w:sz w:val="22"/>
                <w:szCs w:val="22"/>
              </w:rPr>
            </w:pPr>
            <w:r>
              <w:rPr>
                <w:sz w:val="22"/>
                <w:szCs w:val="22"/>
              </w:rPr>
              <w:t>Из числа прошедших профилактические медицинские осмотры на этапе предварительных химико-токсикологиче</w:t>
            </w:r>
            <w:r>
              <w:rPr>
                <w:sz w:val="22"/>
                <w:szCs w:val="22"/>
              </w:rPr>
              <w:t>ских исследований биологических сред для выявления в организме следов наркотических средств, положительные результаты не зарегистрированы.</w:t>
            </w:r>
          </w:p>
        </w:tc>
      </w:tr>
      <w:tr w:rsidR="00DC1467">
        <w:tc>
          <w:tcPr>
            <w:tcW w:w="589" w:type="dxa"/>
          </w:tcPr>
          <w:p w:rsidR="00DC1467" w:rsidRDefault="00B70D3E">
            <w:pPr>
              <w:spacing w:line="235" w:lineRule="auto"/>
              <w:ind w:firstLine="0"/>
              <w:jc w:val="center"/>
              <w:outlineLvl w:val="1"/>
              <w:rPr>
                <w:sz w:val="22"/>
                <w:szCs w:val="22"/>
              </w:rPr>
            </w:pPr>
            <w:r>
              <w:rPr>
                <w:sz w:val="22"/>
                <w:szCs w:val="22"/>
              </w:rPr>
              <w:t>2</w:t>
            </w:r>
          </w:p>
        </w:tc>
        <w:tc>
          <w:tcPr>
            <w:tcW w:w="2780" w:type="dxa"/>
          </w:tcPr>
          <w:p w:rsidR="00DC1467" w:rsidRDefault="00B70D3E">
            <w:pPr>
              <w:pStyle w:val="ConsPlusNormal"/>
              <w:spacing w:line="235" w:lineRule="auto"/>
              <w:ind w:firstLine="0"/>
              <w:rPr>
                <w:rFonts w:ascii="Times New Roman" w:hAnsi="Times New Roman" w:cs="Times New Roman"/>
                <w:sz w:val="22"/>
                <w:szCs w:val="22"/>
              </w:rPr>
            </w:pPr>
            <w:r>
              <w:rPr>
                <w:rFonts w:ascii="Times New Roman" w:hAnsi="Times New Roman" w:cs="Times New Roman"/>
                <w:sz w:val="22"/>
                <w:szCs w:val="22"/>
              </w:rPr>
              <w:t>Развитие системы выявления незаконных потребителей наркотиков среди лиц, находящихся под надзором системы исполнения наказания</w:t>
            </w:r>
          </w:p>
        </w:tc>
        <w:tc>
          <w:tcPr>
            <w:tcW w:w="6138" w:type="dxa"/>
          </w:tcPr>
          <w:p w:rsidR="00DC1467" w:rsidRDefault="00B70D3E">
            <w:pPr>
              <w:spacing w:line="235" w:lineRule="auto"/>
              <w:ind w:firstLine="0"/>
              <w:outlineLvl w:val="1"/>
              <w:rPr>
                <w:sz w:val="22"/>
                <w:szCs w:val="22"/>
              </w:rPr>
            </w:pPr>
            <w:r>
              <w:rPr>
                <w:sz w:val="22"/>
                <w:szCs w:val="22"/>
              </w:rPr>
              <w:t xml:space="preserve">В рамках реализации государственной программы </w:t>
            </w:r>
            <w:r>
              <w:rPr>
                <w:sz w:val="22"/>
                <w:szCs w:val="22"/>
              </w:rPr>
              <w:br/>
              <w:t>Ханты-Мансийского автономного округа – Югры «Безопасность жизнедеятельности и проф</w:t>
            </w:r>
            <w:r>
              <w:rPr>
                <w:sz w:val="22"/>
                <w:szCs w:val="22"/>
              </w:rPr>
              <w:t xml:space="preserve">илактика правонарушений» подпрограммы 2 «Профилактика правонарушений, незаконного оборота и потребления наркотических средств и психотропных веществ» комплекса процессных мероприятий 2.1 «Профилактика правонарушений и обеспечение защиты прав потребителей» </w:t>
            </w:r>
            <w:r>
              <w:rPr>
                <w:sz w:val="22"/>
                <w:szCs w:val="22"/>
              </w:rPr>
              <w:t>2024 году была осуществлена поставка тест-панелей для определения психоактивных веществ в моче на 13 видов психоактивных веществ в количестве 250 шт. для лиц, находящихся под надзором системы исполнения наказания в количестве 250 шт.</w:t>
            </w:r>
          </w:p>
        </w:tc>
      </w:tr>
      <w:tr w:rsidR="00DC1467">
        <w:tc>
          <w:tcPr>
            <w:tcW w:w="589" w:type="dxa"/>
          </w:tcPr>
          <w:p w:rsidR="00DC1467" w:rsidRDefault="00B70D3E">
            <w:pPr>
              <w:spacing w:line="235" w:lineRule="auto"/>
              <w:ind w:firstLine="0"/>
              <w:jc w:val="center"/>
              <w:outlineLvl w:val="1"/>
              <w:rPr>
                <w:sz w:val="22"/>
                <w:szCs w:val="22"/>
              </w:rPr>
            </w:pPr>
            <w:r>
              <w:rPr>
                <w:sz w:val="22"/>
                <w:szCs w:val="22"/>
              </w:rPr>
              <w:t>3</w:t>
            </w:r>
          </w:p>
        </w:tc>
        <w:tc>
          <w:tcPr>
            <w:tcW w:w="2780" w:type="dxa"/>
          </w:tcPr>
          <w:p w:rsidR="00DC1467" w:rsidRDefault="00B70D3E">
            <w:pPr>
              <w:pStyle w:val="ConsPlusNormal"/>
              <w:spacing w:line="235" w:lineRule="auto"/>
              <w:ind w:firstLine="0"/>
              <w:rPr>
                <w:rFonts w:ascii="Times New Roman" w:hAnsi="Times New Roman" w:cs="Times New Roman"/>
                <w:sz w:val="22"/>
                <w:szCs w:val="22"/>
              </w:rPr>
            </w:pPr>
            <w:r>
              <w:rPr>
                <w:rFonts w:ascii="Times New Roman" w:hAnsi="Times New Roman" w:cs="Times New Roman"/>
                <w:sz w:val="22"/>
                <w:szCs w:val="22"/>
              </w:rPr>
              <w:t>Приведение структур</w:t>
            </w:r>
            <w:r>
              <w:rPr>
                <w:rFonts w:ascii="Times New Roman" w:hAnsi="Times New Roman" w:cs="Times New Roman"/>
                <w:sz w:val="22"/>
                <w:szCs w:val="22"/>
              </w:rPr>
              <w:t>ы наркологической службы в соответствие с требованиями к размещению медицинских организаций государственной системы здравоохранения, исходя из потребностей населения, а также региональными особенностями и территориальной доступностью</w:t>
            </w:r>
          </w:p>
        </w:tc>
        <w:tc>
          <w:tcPr>
            <w:tcW w:w="6138" w:type="dxa"/>
          </w:tcPr>
          <w:p w:rsidR="00DC1467" w:rsidRDefault="00B70D3E">
            <w:pPr>
              <w:spacing w:line="235" w:lineRule="auto"/>
              <w:ind w:firstLine="0"/>
              <w:outlineLvl w:val="1"/>
              <w:rPr>
                <w:sz w:val="22"/>
                <w:szCs w:val="22"/>
              </w:rPr>
            </w:pPr>
            <w:r>
              <w:rPr>
                <w:color w:val="000000"/>
                <w:sz w:val="22"/>
                <w:szCs w:val="22"/>
              </w:rPr>
              <w:t>На территории Югры ока</w:t>
            </w:r>
            <w:r>
              <w:rPr>
                <w:color w:val="000000"/>
                <w:sz w:val="22"/>
                <w:szCs w:val="22"/>
              </w:rPr>
              <w:t>зание медицинской помощи по профилю «психиатрия-наркология» организовано в соответствии с действующим законодательством. Реализована трехуровневая система лечебного и реабилитационного процесса по профилю «психиатрия-наркология» с учетом климато-географиче</w:t>
            </w:r>
            <w:r>
              <w:rPr>
                <w:color w:val="000000"/>
                <w:sz w:val="22"/>
                <w:szCs w:val="22"/>
              </w:rPr>
              <w:t>ских, транспортных, этно-культуральных особенностей региона. Соблюдаются принципы этапности проведения, непрерывности, комплексности лечебно-реабилитационных мероприятий. Схема маршрутизации пациентов выстроена по зональному принципу с выделением 5 зон, ск</w:t>
            </w:r>
            <w:r>
              <w:rPr>
                <w:color w:val="000000"/>
                <w:sz w:val="22"/>
                <w:szCs w:val="22"/>
              </w:rPr>
              <w:t>онцентрированных вокруг наиболее крупных городов, медицинские организации которых обеспечивают специализированной медицинской помощью жителей близлежащих населенных пунктов с учетом транспортной доступности. Выстроенная система оказания наркологической пом</w:t>
            </w:r>
            <w:r>
              <w:rPr>
                <w:color w:val="000000"/>
                <w:sz w:val="22"/>
                <w:szCs w:val="22"/>
              </w:rPr>
              <w:t>ощи автономного округа позволяет обеспечивать доступность оказания наркологической помощи населению, достигать положительных тенденций в наркологической ситуации и оперативно реагировать на ее актуальные изменения. Дополнительно подготовлен и утвержден</w:t>
            </w:r>
            <w:r>
              <w:rPr>
                <w:sz w:val="22"/>
                <w:szCs w:val="22"/>
              </w:rPr>
              <w:t xml:space="preserve"> </w:t>
            </w:r>
            <w:r>
              <w:rPr>
                <w:color w:val="000000"/>
                <w:sz w:val="22"/>
                <w:szCs w:val="22"/>
              </w:rPr>
              <w:t>при</w:t>
            </w:r>
            <w:r>
              <w:rPr>
                <w:color w:val="000000"/>
                <w:sz w:val="22"/>
                <w:szCs w:val="22"/>
              </w:rPr>
              <w:t>каз Депздрава Югры от 02.02.2024 № 167 «Об организации оказания наркологической помощи и проведения химико-токсикологических исследований на территории Ханты-Мансийского автономного округа – Югры».</w:t>
            </w:r>
          </w:p>
        </w:tc>
      </w:tr>
      <w:tr w:rsidR="00DC1467">
        <w:tc>
          <w:tcPr>
            <w:tcW w:w="589" w:type="dxa"/>
          </w:tcPr>
          <w:p w:rsidR="00DC1467" w:rsidRDefault="00B70D3E">
            <w:pPr>
              <w:spacing w:line="235" w:lineRule="auto"/>
              <w:ind w:firstLine="0"/>
              <w:jc w:val="center"/>
              <w:outlineLvl w:val="1"/>
              <w:rPr>
                <w:sz w:val="22"/>
                <w:szCs w:val="22"/>
              </w:rPr>
            </w:pPr>
            <w:r>
              <w:rPr>
                <w:sz w:val="22"/>
                <w:szCs w:val="22"/>
              </w:rPr>
              <w:t>4</w:t>
            </w:r>
          </w:p>
        </w:tc>
        <w:tc>
          <w:tcPr>
            <w:tcW w:w="2780" w:type="dxa"/>
          </w:tcPr>
          <w:p w:rsidR="00DC1467" w:rsidRDefault="00B70D3E">
            <w:pPr>
              <w:pStyle w:val="ConsPlusNormal"/>
              <w:spacing w:line="235" w:lineRule="auto"/>
              <w:ind w:firstLine="0"/>
              <w:rPr>
                <w:rFonts w:ascii="Times New Roman" w:hAnsi="Times New Roman" w:cs="Times New Roman"/>
                <w:sz w:val="22"/>
                <w:szCs w:val="22"/>
              </w:rPr>
            </w:pPr>
            <w:r>
              <w:rPr>
                <w:rFonts w:ascii="Times New Roman" w:hAnsi="Times New Roman" w:cs="Times New Roman"/>
                <w:sz w:val="22"/>
                <w:szCs w:val="22"/>
              </w:rPr>
              <w:t>Приведение в соответствие с региональными особенностями</w:t>
            </w:r>
            <w:r>
              <w:rPr>
                <w:rFonts w:ascii="Times New Roman" w:hAnsi="Times New Roman" w:cs="Times New Roman"/>
                <w:sz w:val="22"/>
                <w:szCs w:val="22"/>
              </w:rPr>
              <w:t>, территориально-транспортной доступностью и потребностями населения в округе инфраструктуры системы медицинской профилактики потребления ПАВ, включая организацию деятельности кабинетов профилактики наркологических расстройств, в т.ч. в составе многопрофил</w:t>
            </w:r>
            <w:r>
              <w:rPr>
                <w:rFonts w:ascii="Times New Roman" w:hAnsi="Times New Roman" w:cs="Times New Roman"/>
                <w:sz w:val="22"/>
                <w:szCs w:val="22"/>
              </w:rPr>
              <w:t>ьных медицинских организаций, с использованием (при необходимости) принципа межрайонного функционирования</w:t>
            </w:r>
          </w:p>
        </w:tc>
        <w:tc>
          <w:tcPr>
            <w:tcW w:w="6138" w:type="dxa"/>
          </w:tcPr>
          <w:p w:rsidR="00DC1467" w:rsidRDefault="00B70D3E">
            <w:pPr>
              <w:spacing w:line="235" w:lineRule="auto"/>
              <w:ind w:firstLine="0"/>
              <w:rPr>
                <w:sz w:val="22"/>
                <w:szCs w:val="22"/>
              </w:rPr>
            </w:pPr>
            <w:r>
              <w:rPr>
                <w:sz w:val="22"/>
                <w:szCs w:val="22"/>
              </w:rPr>
              <w:t>В специализированных медицинских организациях Югры, оказывающих наркологическую помощь, функционально выделены кабинеты профилактики наркологических р</w:t>
            </w:r>
            <w:r>
              <w:rPr>
                <w:sz w:val="22"/>
                <w:szCs w:val="22"/>
              </w:rPr>
              <w:t xml:space="preserve">асстройств, всего 2 кабинета. </w:t>
            </w:r>
          </w:p>
          <w:p w:rsidR="00DC1467" w:rsidRDefault="00B70D3E">
            <w:pPr>
              <w:spacing w:line="235" w:lineRule="auto"/>
              <w:ind w:firstLine="0"/>
              <w:rPr>
                <w:sz w:val="22"/>
                <w:szCs w:val="22"/>
              </w:rPr>
            </w:pPr>
            <w:r>
              <w:rPr>
                <w:sz w:val="22"/>
                <w:szCs w:val="22"/>
              </w:rPr>
              <w:t>Кроме того, во всех многопрофильных медицинских организациях, оказывающих наркологическую медицинскую помощь, действуют кабинеты медицинской профилактики – 22 кабинета.</w:t>
            </w:r>
          </w:p>
          <w:p w:rsidR="00DC1467" w:rsidRDefault="00B70D3E">
            <w:pPr>
              <w:spacing w:line="235" w:lineRule="auto"/>
              <w:ind w:firstLine="0"/>
              <w:outlineLvl w:val="1"/>
              <w:rPr>
                <w:sz w:val="22"/>
                <w:szCs w:val="22"/>
              </w:rPr>
            </w:pPr>
            <w:r>
              <w:rPr>
                <w:sz w:val="22"/>
                <w:szCs w:val="22"/>
              </w:rPr>
              <w:t>Взаимодействие медицинских организаций, оказывающих нарк</w:t>
            </w:r>
            <w:r>
              <w:rPr>
                <w:sz w:val="22"/>
                <w:szCs w:val="22"/>
              </w:rPr>
              <w:t>ологическую помощь с медицинскими организациями первичного звена здравоохранения по вопросам профилактики и раннего выявления лиц с проблемным потреблением ПАВ на территории автономного округа основано на обмене опыта по диагностике, лечению и профилактике</w:t>
            </w:r>
            <w:r>
              <w:rPr>
                <w:sz w:val="22"/>
                <w:szCs w:val="22"/>
              </w:rPr>
              <w:t xml:space="preserve"> наркологических расстройств. Данное взаимодействие осуществляется путем проведения информационно-просветительской работы с населением, совместной работы по раннему выявлению наркологических расстройств среди населения, обучения специалистов, оказание конс</w:t>
            </w:r>
            <w:r>
              <w:rPr>
                <w:sz w:val="22"/>
                <w:szCs w:val="22"/>
              </w:rPr>
              <w:t>ультативной помощи по отказу от потребления ПАВ специалистам других медицинских организаций.</w:t>
            </w:r>
          </w:p>
        </w:tc>
      </w:tr>
      <w:tr w:rsidR="00DC1467">
        <w:tc>
          <w:tcPr>
            <w:tcW w:w="589" w:type="dxa"/>
          </w:tcPr>
          <w:p w:rsidR="00DC1467" w:rsidRDefault="00B70D3E">
            <w:pPr>
              <w:spacing w:line="235" w:lineRule="auto"/>
              <w:ind w:firstLine="0"/>
              <w:jc w:val="center"/>
              <w:outlineLvl w:val="1"/>
              <w:rPr>
                <w:sz w:val="22"/>
                <w:szCs w:val="22"/>
              </w:rPr>
            </w:pPr>
            <w:r>
              <w:rPr>
                <w:sz w:val="22"/>
                <w:szCs w:val="22"/>
              </w:rPr>
              <w:t>5</w:t>
            </w:r>
          </w:p>
        </w:tc>
        <w:tc>
          <w:tcPr>
            <w:tcW w:w="2780" w:type="dxa"/>
          </w:tcPr>
          <w:p w:rsidR="00DC1467" w:rsidRDefault="00B70D3E">
            <w:pPr>
              <w:pStyle w:val="ConsPlusNormal"/>
              <w:spacing w:line="235" w:lineRule="auto"/>
              <w:ind w:firstLine="0"/>
              <w:rPr>
                <w:rFonts w:ascii="Times New Roman" w:hAnsi="Times New Roman" w:cs="Times New Roman"/>
                <w:sz w:val="22"/>
                <w:szCs w:val="22"/>
              </w:rPr>
            </w:pPr>
            <w:r>
              <w:rPr>
                <w:rFonts w:ascii="Times New Roman" w:hAnsi="Times New Roman" w:cs="Times New Roman"/>
                <w:sz w:val="22"/>
                <w:szCs w:val="22"/>
              </w:rPr>
              <w:t>Поддержание деятельности отделений медицинской реабилитации для лиц с нар</w:t>
            </w:r>
            <w:r>
              <w:rPr>
                <w:rFonts w:ascii="Times New Roman" w:hAnsi="Times New Roman" w:cs="Times New Roman"/>
                <w:sz w:val="22"/>
                <w:szCs w:val="22"/>
              </w:rPr>
              <w:t xml:space="preserve">кологическими расстройствами (реабилитационного наркологического центра) и развитие инфраструктуры для осуществления медицинской реабилитации в амбулаторных условиях (в соответствии с региональными особенностями, территориально-транспортной доступностью и </w:t>
            </w:r>
            <w:r>
              <w:rPr>
                <w:rFonts w:ascii="Times New Roman" w:hAnsi="Times New Roman" w:cs="Times New Roman"/>
                <w:sz w:val="22"/>
                <w:szCs w:val="22"/>
              </w:rPr>
              <w:t>потребностями населения)</w:t>
            </w:r>
          </w:p>
        </w:tc>
        <w:tc>
          <w:tcPr>
            <w:tcW w:w="6138" w:type="dxa"/>
          </w:tcPr>
          <w:p w:rsidR="00DC1467" w:rsidRDefault="00B70D3E">
            <w:pPr>
              <w:spacing w:line="235" w:lineRule="auto"/>
              <w:ind w:firstLine="0"/>
              <w:outlineLvl w:val="1"/>
              <w:rPr>
                <w:sz w:val="22"/>
                <w:szCs w:val="22"/>
              </w:rPr>
            </w:pPr>
            <w:r>
              <w:rPr>
                <w:sz w:val="22"/>
                <w:szCs w:val="22"/>
              </w:rPr>
              <w:t>Оказание услуг по медицинской реабилитации лиц, потребляющих психоактивные вещества без назначения врача, осуществляется на базе медицинских организаций:</w:t>
            </w:r>
          </w:p>
          <w:p w:rsidR="00DC1467" w:rsidRDefault="00B70D3E">
            <w:pPr>
              <w:spacing w:line="235" w:lineRule="auto"/>
              <w:ind w:firstLine="0"/>
              <w:outlineLvl w:val="1"/>
              <w:rPr>
                <w:sz w:val="22"/>
                <w:szCs w:val="22"/>
              </w:rPr>
            </w:pPr>
            <w:r>
              <w:rPr>
                <w:sz w:val="22"/>
                <w:szCs w:val="22"/>
              </w:rPr>
              <w:t>- краткосрочный этап стационарной реабилитации:</w:t>
            </w:r>
          </w:p>
          <w:p w:rsidR="00DC1467" w:rsidRDefault="00B70D3E">
            <w:pPr>
              <w:spacing w:line="235" w:lineRule="auto"/>
              <w:ind w:firstLine="0"/>
              <w:outlineLvl w:val="1"/>
              <w:rPr>
                <w:sz w:val="22"/>
                <w:szCs w:val="22"/>
              </w:rPr>
            </w:pPr>
            <w:r>
              <w:rPr>
                <w:sz w:val="22"/>
                <w:szCs w:val="22"/>
              </w:rPr>
              <w:t>БУ ХМАО-Югры «Сургутская</w:t>
            </w:r>
            <w:r>
              <w:rPr>
                <w:sz w:val="22"/>
                <w:szCs w:val="22"/>
              </w:rPr>
              <w:t xml:space="preserve"> клиническая психоневрологическая больница» (33 койко-места);</w:t>
            </w:r>
          </w:p>
          <w:p w:rsidR="00DC1467" w:rsidRDefault="00B70D3E">
            <w:pPr>
              <w:spacing w:line="235" w:lineRule="auto"/>
              <w:ind w:firstLine="0"/>
              <w:outlineLvl w:val="1"/>
              <w:rPr>
                <w:sz w:val="22"/>
                <w:szCs w:val="22"/>
              </w:rPr>
            </w:pPr>
            <w:r>
              <w:rPr>
                <w:sz w:val="22"/>
                <w:szCs w:val="22"/>
              </w:rPr>
              <w:t>БУ ХМАО-Югры «Советская психоневрологическая больница» (3 койко-места в филиале учреждения в г. Урай);</w:t>
            </w:r>
          </w:p>
          <w:p w:rsidR="00DC1467" w:rsidRDefault="00B70D3E">
            <w:pPr>
              <w:spacing w:line="235" w:lineRule="auto"/>
              <w:ind w:firstLine="0"/>
              <w:outlineLvl w:val="1"/>
              <w:rPr>
                <w:sz w:val="22"/>
                <w:szCs w:val="22"/>
              </w:rPr>
            </w:pPr>
            <w:r>
              <w:rPr>
                <w:sz w:val="22"/>
                <w:szCs w:val="22"/>
              </w:rPr>
              <w:t>БУ ХМАО-Югры «Нижневартовская психоневрологическая больница» (25 койко-мест).</w:t>
            </w:r>
          </w:p>
          <w:p w:rsidR="00DC1467" w:rsidRDefault="00B70D3E">
            <w:pPr>
              <w:spacing w:line="235" w:lineRule="auto"/>
              <w:ind w:firstLine="0"/>
              <w:outlineLvl w:val="1"/>
              <w:rPr>
                <w:sz w:val="22"/>
                <w:szCs w:val="22"/>
              </w:rPr>
            </w:pPr>
            <w:r>
              <w:rPr>
                <w:sz w:val="22"/>
                <w:szCs w:val="22"/>
              </w:rPr>
              <w:t>- этап стацио</w:t>
            </w:r>
            <w:r>
              <w:rPr>
                <w:sz w:val="22"/>
                <w:szCs w:val="22"/>
              </w:rPr>
              <w:t>нарной абилитации-реабилитации осуществляется на базе КУ ХМАО-Югры «Лемпинский наркологический реабилитационный центр» (50 койко-мест).</w:t>
            </w:r>
          </w:p>
          <w:p w:rsidR="00DC1467" w:rsidRDefault="00B70D3E">
            <w:pPr>
              <w:spacing w:line="235" w:lineRule="auto"/>
              <w:ind w:firstLine="0"/>
              <w:outlineLvl w:val="1"/>
              <w:rPr>
                <w:sz w:val="22"/>
                <w:szCs w:val="22"/>
              </w:rPr>
            </w:pPr>
            <w:r>
              <w:rPr>
                <w:sz w:val="22"/>
                <w:szCs w:val="22"/>
              </w:rPr>
              <w:t>В ХМАО-Югре медицинская реабилитация наркологических больных осуществляется как в стационарных, так и в амбулаторных усл</w:t>
            </w:r>
            <w:r>
              <w:rPr>
                <w:sz w:val="22"/>
                <w:szCs w:val="22"/>
              </w:rPr>
              <w:t>овиях.</w:t>
            </w:r>
          </w:p>
          <w:p w:rsidR="00DC1467" w:rsidRDefault="00B70D3E">
            <w:pPr>
              <w:spacing w:line="235" w:lineRule="auto"/>
              <w:ind w:firstLine="0"/>
              <w:outlineLvl w:val="1"/>
              <w:rPr>
                <w:sz w:val="22"/>
                <w:szCs w:val="22"/>
              </w:rPr>
            </w:pPr>
            <w:r>
              <w:rPr>
                <w:sz w:val="22"/>
                <w:szCs w:val="22"/>
              </w:rPr>
              <w:t>Длительность реабилитационной программы в стационарных условиях, составляет: 21 день (краткосрочная), 90 дней (среднесрочная), 270 дней (долгосрочная). Программа рассчитана для работы мультидисциплинарной бригады специалистов, состоящей из врача-пси</w:t>
            </w:r>
            <w:r>
              <w:rPr>
                <w:sz w:val="22"/>
                <w:szCs w:val="22"/>
              </w:rPr>
              <w:t>хиатра-нарколога, врача-психотерапевта, медицинского психолога и специалиста по социальной работе (социального работника).</w:t>
            </w:r>
          </w:p>
          <w:p w:rsidR="00DC1467" w:rsidRDefault="00B70D3E">
            <w:pPr>
              <w:spacing w:line="235" w:lineRule="auto"/>
              <w:ind w:firstLine="0"/>
              <w:outlineLvl w:val="1"/>
              <w:rPr>
                <w:sz w:val="22"/>
                <w:szCs w:val="22"/>
              </w:rPr>
            </w:pPr>
            <w:r>
              <w:rPr>
                <w:sz w:val="22"/>
                <w:szCs w:val="22"/>
              </w:rPr>
              <w:t>Медицинская реабилитация в стационарных условиях оказывается с учетом принципа «разных потоков».</w:t>
            </w:r>
          </w:p>
        </w:tc>
      </w:tr>
      <w:tr w:rsidR="00DC1467">
        <w:tc>
          <w:tcPr>
            <w:tcW w:w="589" w:type="dxa"/>
          </w:tcPr>
          <w:p w:rsidR="00DC1467" w:rsidRDefault="00B70D3E">
            <w:pPr>
              <w:spacing w:line="235" w:lineRule="auto"/>
              <w:ind w:firstLine="0"/>
              <w:jc w:val="center"/>
              <w:outlineLvl w:val="1"/>
              <w:rPr>
                <w:sz w:val="22"/>
                <w:szCs w:val="22"/>
              </w:rPr>
            </w:pPr>
            <w:r>
              <w:rPr>
                <w:sz w:val="22"/>
                <w:szCs w:val="22"/>
              </w:rPr>
              <w:t>6</w:t>
            </w:r>
          </w:p>
        </w:tc>
        <w:tc>
          <w:tcPr>
            <w:tcW w:w="2780" w:type="dxa"/>
          </w:tcPr>
          <w:p w:rsidR="00DC1467" w:rsidRDefault="00B70D3E">
            <w:pPr>
              <w:pStyle w:val="ConsPlusNormal"/>
              <w:spacing w:line="235" w:lineRule="auto"/>
              <w:ind w:firstLine="0"/>
              <w:rPr>
                <w:rFonts w:ascii="Times New Roman" w:hAnsi="Times New Roman" w:cs="Times New Roman"/>
                <w:sz w:val="22"/>
                <w:szCs w:val="22"/>
              </w:rPr>
            </w:pPr>
            <w:r>
              <w:rPr>
                <w:rFonts w:ascii="Times New Roman" w:hAnsi="Times New Roman" w:cs="Times New Roman"/>
                <w:sz w:val="22"/>
                <w:szCs w:val="22"/>
              </w:rPr>
              <w:t>Приведение материально-техническо</w:t>
            </w:r>
            <w:r>
              <w:rPr>
                <w:rFonts w:ascii="Times New Roman" w:hAnsi="Times New Roman" w:cs="Times New Roman"/>
                <w:sz w:val="22"/>
                <w:szCs w:val="22"/>
              </w:rPr>
              <w:t>го обеспечения государственных медицинских организаций автономного округа, оказывающих медицинскую помощь по профилю «психиатрия-наркология», в соответствие с требованиями порядка оказания медицинской помощи по этому профилю, включая оснащение (дооснащение</w:t>
            </w:r>
            <w:r>
              <w:rPr>
                <w:rFonts w:ascii="Times New Roman" w:hAnsi="Times New Roman" w:cs="Times New Roman"/>
                <w:sz w:val="22"/>
                <w:szCs w:val="22"/>
              </w:rPr>
              <w:t>) указанных медицинских организаций, их филиалов, лабораторий и иных структурных подразделений расходными материалами и лабораторным оборудованием, используемым для диагностики употребления ПАВ</w:t>
            </w:r>
          </w:p>
        </w:tc>
        <w:tc>
          <w:tcPr>
            <w:tcW w:w="6138" w:type="dxa"/>
            <w:shd w:val="clear" w:color="auto" w:fill="auto"/>
          </w:tcPr>
          <w:p w:rsidR="00DC1467" w:rsidRDefault="00B70D3E">
            <w:pPr>
              <w:spacing w:line="235" w:lineRule="auto"/>
              <w:ind w:firstLine="0"/>
              <w:rPr>
                <w:sz w:val="22"/>
                <w:szCs w:val="22"/>
              </w:rPr>
            </w:pPr>
            <w:r>
              <w:rPr>
                <w:bCs/>
                <w:sz w:val="22"/>
                <w:szCs w:val="22"/>
              </w:rPr>
              <w:t>По государственной программе ХМАО-Югры «Современное здравоохра</w:t>
            </w:r>
            <w:r>
              <w:rPr>
                <w:bCs/>
                <w:sz w:val="22"/>
                <w:szCs w:val="22"/>
              </w:rPr>
              <w:t>нение»</w:t>
            </w:r>
            <w:r>
              <w:rPr>
                <w:sz w:val="22"/>
                <w:szCs w:val="22"/>
              </w:rPr>
              <w:t xml:space="preserve"> в 2024 году в рамках Комплекса процессных мероприятий 14 «Организация оказания медицинской помощи населению Ханты-Мансийского автономного округа – Югры» реализуются мероприятия по противодействию злоупотреблению наркотиками и их незаконному обороту.</w:t>
            </w:r>
            <w:r>
              <w:rPr>
                <w:sz w:val="22"/>
                <w:szCs w:val="22"/>
              </w:rPr>
              <w:t xml:space="preserve"> Приобретены:</w:t>
            </w:r>
          </w:p>
          <w:p w:rsidR="00DC1467" w:rsidRDefault="00B70D3E">
            <w:pPr>
              <w:spacing w:line="235" w:lineRule="auto"/>
              <w:ind w:firstLine="0"/>
              <w:rPr>
                <w:sz w:val="22"/>
                <w:szCs w:val="22"/>
              </w:rPr>
            </w:pPr>
            <w:r>
              <w:rPr>
                <w:sz w:val="22"/>
                <w:szCs w:val="22"/>
              </w:rPr>
              <w:t>- реагенты медицинские диагностические в количестве 1290 шт., (одноразовая тест-панель погружного типа для определения 12 и 13 видов наркотических веществ и их метаболитов (Амфетамин, Барбитураты, Бензодиазепины, Кокаин, Этилглюкуронид</w:t>
            </w:r>
            <w:r>
              <w:rPr>
                <w:sz w:val="22"/>
                <w:szCs w:val="22"/>
              </w:rPr>
              <w:t>, Синтетические каннабиноиды, Метилендиоксиметамфетамин, Катионы, Метамфетамин, Метадон, Опиаты, Фенциклидин, Марихуана), для проведения экспертных исследований в области определения состояний опьянения у лиц, употребивших психоактивные вещества;</w:t>
            </w:r>
          </w:p>
          <w:p w:rsidR="00DC1467" w:rsidRDefault="00B70D3E">
            <w:pPr>
              <w:spacing w:line="235" w:lineRule="auto"/>
              <w:ind w:firstLine="0"/>
              <w:rPr>
                <w:sz w:val="22"/>
                <w:szCs w:val="22"/>
              </w:rPr>
            </w:pPr>
            <w:r>
              <w:rPr>
                <w:sz w:val="22"/>
                <w:szCs w:val="22"/>
              </w:rPr>
              <w:t>- медицин</w:t>
            </w:r>
            <w:r>
              <w:rPr>
                <w:sz w:val="22"/>
                <w:szCs w:val="22"/>
              </w:rPr>
              <w:t>ский расходный материал для проведения лабораторных химикотоксикологических исследований (пробирка центрифужная, пипетка виалы, чашки концентрационные) в количестве 30 032 условных единиц.</w:t>
            </w:r>
          </w:p>
          <w:p w:rsidR="00DC1467" w:rsidRDefault="00B70D3E">
            <w:pPr>
              <w:spacing w:line="235" w:lineRule="auto"/>
              <w:ind w:firstLine="0"/>
              <w:rPr>
                <w:sz w:val="22"/>
                <w:szCs w:val="22"/>
              </w:rPr>
            </w:pPr>
            <w:r>
              <w:rPr>
                <w:sz w:val="22"/>
                <w:szCs w:val="22"/>
              </w:rPr>
              <w:t>- расходный материал для медицинского применения для проведения хим</w:t>
            </w:r>
            <w:r>
              <w:rPr>
                <w:sz w:val="22"/>
                <w:szCs w:val="22"/>
              </w:rPr>
              <w:t>ико-токсикологических исследований (виалы, чашки концентрационные) в количестве 32 упак.</w:t>
            </w:r>
          </w:p>
          <w:p w:rsidR="00DC1467" w:rsidRDefault="00B70D3E">
            <w:pPr>
              <w:tabs>
                <w:tab w:val="left" w:pos="6645"/>
              </w:tabs>
              <w:spacing w:line="235" w:lineRule="auto"/>
              <w:ind w:firstLine="0"/>
              <w:rPr>
                <w:sz w:val="22"/>
                <w:szCs w:val="22"/>
              </w:rPr>
            </w:pPr>
            <w:r>
              <w:rPr>
                <w:sz w:val="22"/>
                <w:szCs w:val="22"/>
              </w:rPr>
              <w:t>В рамках Комплекса процессных мероприятий 21 «Создание условий для оказания медицинской помощи населению. Укрепление и модернизация материально-технической базы медици</w:t>
            </w:r>
            <w:r>
              <w:rPr>
                <w:sz w:val="22"/>
                <w:szCs w:val="22"/>
              </w:rPr>
              <w:t xml:space="preserve">нских организаций», приобретены: расходный материал (реактивы) для медицинского применения в количестве 2 набора, химические реактивы в количестве 45 шт., расходный материал для медицинского применения в количестве 65 упак. </w:t>
            </w:r>
            <w:r>
              <w:rPr>
                <w:i/>
                <w:sz w:val="22"/>
                <w:szCs w:val="22"/>
              </w:rPr>
              <w:t xml:space="preserve"> </w:t>
            </w:r>
            <w:r>
              <w:rPr>
                <w:sz w:val="22"/>
                <w:szCs w:val="22"/>
              </w:rPr>
              <w:t>для проведения химико-токсиколо</w:t>
            </w:r>
            <w:r>
              <w:rPr>
                <w:sz w:val="22"/>
                <w:szCs w:val="22"/>
              </w:rPr>
              <w:t xml:space="preserve">гических исследований. </w:t>
            </w:r>
          </w:p>
          <w:p w:rsidR="00DC1467" w:rsidRDefault="00B70D3E">
            <w:pPr>
              <w:spacing w:line="235" w:lineRule="auto"/>
              <w:ind w:firstLine="0"/>
              <w:rPr>
                <w:sz w:val="22"/>
                <w:szCs w:val="22"/>
              </w:rPr>
            </w:pPr>
            <w:r>
              <w:rPr>
                <w:sz w:val="22"/>
                <w:szCs w:val="22"/>
              </w:rPr>
              <w:t>Для проведения медицинского освидетельствования приобретены: медицинский расходный материал к техническому средству измерения количественного определения алкоголя в выдыхаемом воздухе (мундштук одноразовый, совместимый с техническим</w:t>
            </w:r>
            <w:r>
              <w:rPr>
                <w:sz w:val="22"/>
                <w:szCs w:val="22"/>
              </w:rPr>
              <w:t xml:space="preserve"> средством измерения количественного определения алкоголя в выдыхаемом воздухе) в количестве 41100 шт.</w:t>
            </w:r>
          </w:p>
          <w:p w:rsidR="00DC1467" w:rsidRDefault="00B70D3E">
            <w:pPr>
              <w:spacing w:line="235" w:lineRule="auto"/>
              <w:ind w:firstLine="0"/>
              <w:rPr>
                <w:sz w:val="22"/>
                <w:szCs w:val="22"/>
              </w:rPr>
            </w:pPr>
            <w:r>
              <w:rPr>
                <w:sz w:val="22"/>
                <w:szCs w:val="22"/>
              </w:rPr>
              <w:t>- Приобретено медицинское оборудование в количестве 23 шт., в т.ч.: анализатор содержания алкоголя в выдыхаемом воздухе - 15 шт., портативный электрокард</w:t>
            </w:r>
            <w:r>
              <w:rPr>
                <w:sz w:val="22"/>
                <w:szCs w:val="22"/>
              </w:rPr>
              <w:t>иограф - 4 шт., дефибриллятор - 2 шт., центрифуга лабораторная-1 шт., шкаф вытяжной лабораторный - 1 шт.;</w:t>
            </w:r>
          </w:p>
          <w:p w:rsidR="00DC1467" w:rsidRDefault="00B70D3E">
            <w:pPr>
              <w:spacing w:line="235" w:lineRule="auto"/>
              <w:ind w:firstLine="0"/>
              <w:outlineLvl w:val="1"/>
              <w:rPr>
                <w:sz w:val="22"/>
                <w:szCs w:val="22"/>
              </w:rPr>
            </w:pPr>
            <w:r>
              <w:rPr>
                <w:sz w:val="22"/>
                <w:szCs w:val="22"/>
              </w:rPr>
              <w:t>- Приобретены расходный материал к медицинскому оборудованию в количестве 16 упак., расходный материал к медицинскому оборудованию в количестве 23 шт.</w:t>
            </w:r>
            <w:r>
              <w:rPr>
                <w:sz w:val="22"/>
                <w:szCs w:val="22"/>
              </w:rPr>
              <w:t>, запасные части к медицинскому оборудованию в количестве 2 упак., запасные части к медицинскому оборудованию в количестве 2 компл., запасные части к медицинскому оборудованию в количестве 1 шт. (для проведения химико-токсикологических исследований).</w:t>
            </w:r>
          </w:p>
        </w:tc>
      </w:tr>
      <w:tr w:rsidR="00DC1467">
        <w:tc>
          <w:tcPr>
            <w:tcW w:w="589" w:type="dxa"/>
          </w:tcPr>
          <w:p w:rsidR="00DC1467" w:rsidRDefault="00B70D3E">
            <w:pPr>
              <w:spacing w:line="235" w:lineRule="auto"/>
              <w:ind w:firstLine="0"/>
              <w:jc w:val="center"/>
              <w:outlineLvl w:val="1"/>
              <w:rPr>
                <w:sz w:val="22"/>
                <w:szCs w:val="22"/>
              </w:rPr>
            </w:pPr>
            <w:r>
              <w:rPr>
                <w:sz w:val="22"/>
                <w:szCs w:val="22"/>
              </w:rPr>
              <w:t>7</w:t>
            </w:r>
          </w:p>
        </w:tc>
        <w:tc>
          <w:tcPr>
            <w:tcW w:w="2780" w:type="dxa"/>
          </w:tcPr>
          <w:p w:rsidR="00DC1467" w:rsidRDefault="00B70D3E">
            <w:pPr>
              <w:pStyle w:val="ConsPlusNormal"/>
              <w:spacing w:line="235" w:lineRule="auto"/>
              <w:ind w:firstLine="0"/>
              <w:rPr>
                <w:rFonts w:ascii="Times New Roman" w:hAnsi="Times New Roman" w:cs="Times New Roman"/>
                <w:sz w:val="22"/>
                <w:szCs w:val="22"/>
              </w:rPr>
            </w:pPr>
            <w:r>
              <w:rPr>
                <w:rFonts w:ascii="Times New Roman" w:hAnsi="Times New Roman" w:cs="Times New Roman"/>
                <w:sz w:val="22"/>
                <w:szCs w:val="22"/>
              </w:rPr>
              <w:t>Фо</w:t>
            </w:r>
            <w:r>
              <w:rPr>
                <w:rFonts w:ascii="Times New Roman" w:hAnsi="Times New Roman" w:cs="Times New Roman"/>
                <w:sz w:val="22"/>
                <w:szCs w:val="22"/>
              </w:rPr>
              <w:t>рмирование механизмов, обеспечивающих единую координацию специалистами государственных психоневрологических больниц автономного округа, а также осуществление этими специалистами мониторинга и анализа медико-статистических показателей и организационно-метод</w:t>
            </w:r>
            <w:r>
              <w:rPr>
                <w:rFonts w:ascii="Times New Roman" w:hAnsi="Times New Roman" w:cs="Times New Roman"/>
                <w:sz w:val="22"/>
                <w:szCs w:val="22"/>
              </w:rPr>
              <w:t>ического руководства с учетом зонального принципа в отношении стационарных и амбулаторных подразделений наркологического профиля, входящих в состав многопрофильных медицинских организаций и медицинских организаций, оказывающих медицинскую помощь по профилю</w:t>
            </w:r>
            <w:r>
              <w:rPr>
                <w:rFonts w:ascii="Times New Roman" w:hAnsi="Times New Roman" w:cs="Times New Roman"/>
                <w:sz w:val="22"/>
                <w:szCs w:val="22"/>
              </w:rPr>
              <w:t xml:space="preserve"> «психиатрия-наркология»</w:t>
            </w:r>
          </w:p>
        </w:tc>
        <w:tc>
          <w:tcPr>
            <w:tcW w:w="6138" w:type="dxa"/>
          </w:tcPr>
          <w:p w:rsidR="00DC1467" w:rsidRDefault="00B70D3E">
            <w:pPr>
              <w:spacing w:line="235" w:lineRule="auto"/>
              <w:ind w:firstLine="0"/>
              <w:outlineLvl w:val="1"/>
              <w:rPr>
                <w:sz w:val="22"/>
                <w:szCs w:val="22"/>
              </w:rPr>
            </w:pPr>
            <w:r>
              <w:rPr>
                <w:sz w:val="22"/>
                <w:szCs w:val="22"/>
              </w:rPr>
              <w:t>На территории Югры приказом Депздрава Югры от 2.02.2024 № 167 «Об организации оказания наркологической помощи и проведения химико-токсикологических исследований на территории Ханты-Мансийского автономного окру</w:t>
            </w:r>
            <w:r>
              <w:rPr>
                <w:sz w:val="22"/>
                <w:szCs w:val="22"/>
              </w:rPr>
              <w:t>га – Югры» выстроена трёхуровневая система оказания наркологической помощи населению в рамках зонального принципа: где первый уровень – наркологический кабинет, наркологическое отделение в структуре многопрофильных больниц, расположенных в муниципальных об</w:t>
            </w:r>
            <w:r>
              <w:rPr>
                <w:sz w:val="22"/>
                <w:szCs w:val="22"/>
              </w:rPr>
              <w:t>разованиях, второй уровень – психоневрологические больницы, оказывающие специализированную медицинскую помощь по профилю «психиатрия-наркология» по курируемой зоне ответственности, третий уровень – головное учреждение наркологической службы ХМАО-Югры: БУ «</w:t>
            </w:r>
            <w:r>
              <w:rPr>
                <w:sz w:val="22"/>
                <w:szCs w:val="22"/>
              </w:rPr>
              <w:t>Сургутская клиническая психоневрологическая больница». На данном уровне осуществляется единая координация, мониторинг и анализ медико-статистических показателей и организационно-методического руководство с учетом зонального принципа в отношении стационарны</w:t>
            </w:r>
            <w:r>
              <w:rPr>
                <w:sz w:val="22"/>
                <w:szCs w:val="22"/>
              </w:rPr>
              <w:t>х и амбулаторных подразделений наркологического профиля, входящих в состав многопрофильных медицинских организаций и медицинских организаций, оказывающих медицинскую помощь по профилю «психиатрия-наркология».</w:t>
            </w:r>
          </w:p>
        </w:tc>
      </w:tr>
      <w:tr w:rsidR="00DC1467">
        <w:tc>
          <w:tcPr>
            <w:tcW w:w="589" w:type="dxa"/>
          </w:tcPr>
          <w:p w:rsidR="00DC1467" w:rsidRDefault="00B70D3E">
            <w:pPr>
              <w:spacing w:line="235" w:lineRule="auto"/>
              <w:ind w:firstLine="0"/>
              <w:jc w:val="center"/>
              <w:outlineLvl w:val="1"/>
              <w:rPr>
                <w:sz w:val="22"/>
                <w:szCs w:val="22"/>
              </w:rPr>
            </w:pPr>
            <w:r>
              <w:rPr>
                <w:sz w:val="22"/>
                <w:szCs w:val="22"/>
              </w:rPr>
              <w:t>8</w:t>
            </w:r>
          </w:p>
        </w:tc>
        <w:tc>
          <w:tcPr>
            <w:tcW w:w="2780" w:type="dxa"/>
          </w:tcPr>
          <w:p w:rsidR="00DC1467" w:rsidRDefault="00B70D3E">
            <w:pPr>
              <w:pStyle w:val="ConsPlusNormal"/>
              <w:spacing w:line="235" w:lineRule="auto"/>
              <w:ind w:firstLine="0"/>
              <w:rPr>
                <w:rFonts w:ascii="Times New Roman" w:hAnsi="Times New Roman" w:cs="Times New Roman"/>
                <w:sz w:val="22"/>
                <w:szCs w:val="22"/>
              </w:rPr>
            </w:pPr>
            <w:r>
              <w:rPr>
                <w:rFonts w:ascii="Times New Roman" w:hAnsi="Times New Roman" w:cs="Times New Roman"/>
                <w:sz w:val="22"/>
                <w:szCs w:val="22"/>
              </w:rPr>
              <w:t>Осуществление мероприятий по подготовке кадр</w:t>
            </w:r>
            <w:r>
              <w:rPr>
                <w:rFonts w:ascii="Times New Roman" w:hAnsi="Times New Roman" w:cs="Times New Roman"/>
                <w:sz w:val="22"/>
                <w:szCs w:val="22"/>
              </w:rPr>
              <w:t>ов для государственных медицинских организаций автономного округа, оказывающих медицинскую помощь по профилю "психиатрия-наркология"</w:t>
            </w:r>
          </w:p>
        </w:tc>
        <w:tc>
          <w:tcPr>
            <w:tcW w:w="6138" w:type="dxa"/>
          </w:tcPr>
          <w:p w:rsidR="00DC1467" w:rsidRDefault="00B70D3E">
            <w:pPr>
              <w:spacing w:line="235" w:lineRule="auto"/>
              <w:ind w:firstLine="0"/>
              <w:outlineLvl w:val="1"/>
              <w:rPr>
                <w:sz w:val="22"/>
                <w:szCs w:val="22"/>
              </w:rPr>
            </w:pPr>
            <w:r>
              <w:rPr>
                <w:sz w:val="22"/>
                <w:szCs w:val="22"/>
              </w:rPr>
              <w:t>Специалисты наркологической службы проходят повышение квалификации и обучение в федеральных центрах, на портале непрерывног</w:t>
            </w:r>
            <w:r>
              <w:rPr>
                <w:sz w:val="22"/>
                <w:szCs w:val="22"/>
              </w:rPr>
              <w:t>о медицинского образования Министерства здравоохранения Российской Федерации. Врачи–ординаторы проходят подготовку по профилю «психиатрия-наркология» в региональных центрах высшего образования, с последующим трудоустройством в медицинские организации автон</w:t>
            </w:r>
            <w:r>
              <w:rPr>
                <w:sz w:val="22"/>
                <w:szCs w:val="22"/>
              </w:rPr>
              <w:t>омного округа.</w:t>
            </w:r>
          </w:p>
          <w:p w:rsidR="00DC1467" w:rsidRDefault="00B70D3E">
            <w:pPr>
              <w:spacing w:line="235" w:lineRule="auto"/>
              <w:ind w:firstLine="0"/>
              <w:outlineLvl w:val="1"/>
              <w:rPr>
                <w:sz w:val="22"/>
                <w:szCs w:val="22"/>
              </w:rPr>
            </w:pPr>
            <w:r>
              <w:rPr>
                <w:sz w:val="22"/>
                <w:szCs w:val="22"/>
              </w:rPr>
              <w:t>С осени 2023 года по программе целевой подготовки кадров наркологической службы автономного округа начато обучение в ординатуре по специальности «психиатрия-наркология» 2-х специалистов с последующим трудоустройством в 2025 году.</w:t>
            </w:r>
          </w:p>
        </w:tc>
      </w:tr>
      <w:tr w:rsidR="00DC1467">
        <w:tc>
          <w:tcPr>
            <w:tcW w:w="589" w:type="dxa"/>
          </w:tcPr>
          <w:p w:rsidR="00DC1467" w:rsidRDefault="00B70D3E">
            <w:pPr>
              <w:spacing w:line="235" w:lineRule="auto"/>
              <w:ind w:firstLine="0"/>
              <w:jc w:val="center"/>
              <w:outlineLvl w:val="1"/>
              <w:rPr>
                <w:sz w:val="22"/>
                <w:szCs w:val="22"/>
              </w:rPr>
            </w:pPr>
            <w:r>
              <w:rPr>
                <w:sz w:val="22"/>
                <w:szCs w:val="22"/>
              </w:rPr>
              <w:t>9</w:t>
            </w:r>
          </w:p>
        </w:tc>
        <w:tc>
          <w:tcPr>
            <w:tcW w:w="2780" w:type="dxa"/>
          </w:tcPr>
          <w:p w:rsidR="00DC1467" w:rsidRDefault="00B70D3E">
            <w:pPr>
              <w:pStyle w:val="ConsPlusNormal"/>
              <w:spacing w:line="235" w:lineRule="auto"/>
              <w:ind w:firstLine="0"/>
              <w:rPr>
                <w:rFonts w:ascii="Times New Roman" w:hAnsi="Times New Roman" w:cs="Times New Roman"/>
                <w:sz w:val="22"/>
                <w:szCs w:val="22"/>
              </w:rPr>
            </w:pPr>
            <w:r>
              <w:rPr>
                <w:rFonts w:ascii="Times New Roman" w:hAnsi="Times New Roman" w:cs="Times New Roman"/>
                <w:sz w:val="22"/>
                <w:szCs w:val="22"/>
              </w:rPr>
              <w:t>Обеспече</w:t>
            </w:r>
            <w:r>
              <w:rPr>
                <w:rFonts w:ascii="Times New Roman" w:hAnsi="Times New Roman" w:cs="Times New Roman"/>
                <w:sz w:val="22"/>
                <w:szCs w:val="22"/>
              </w:rPr>
              <w:t>ние трудоустройства медицинских работников в государственные медицинские организации автономного округа, оказывающие медицинскую помощь по профилю "психиатрия-наркология"</w:t>
            </w:r>
          </w:p>
        </w:tc>
        <w:tc>
          <w:tcPr>
            <w:tcW w:w="6138" w:type="dxa"/>
          </w:tcPr>
          <w:p w:rsidR="00DC1467" w:rsidRDefault="00B70D3E">
            <w:pPr>
              <w:spacing w:line="235" w:lineRule="auto"/>
              <w:ind w:firstLine="0"/>
              <w:outlineLvl w:val="1"/>
              <w:rPr>
                <w:sz w:val="22"/>
                <w:szCs w:val="22"/>
              </w:rPr>
            </w:pPr>
            <w:r>
              <w:rPr>
                <w:sz w:val="22"/>
                <w:szCs w:val="22"/>
              </w:rPr>
              <w:t>По окончанию ординатуры по специальности «психиатрия-наркология», врачи-специалисты т</w:t>
            </w:r>
            <w:r>
              <w:rPr>
                <w:sz w:val="22"/>
                <w:szCs w:val="22"/>
              </w:rPr>
              <w:t>рудоустраиваются в медицинские организации ХМАО-Югры.</w:t>
            </w:r>
          </w:p>
          <w:p w:rsidR="00DC1467" w:rsidRDefault="00B70D3E">
            <w:pPr>
              <w:pStyle w:val="aff5"/>
              <w:spacing w:line="235" w:lineRule="auto"/>
              <w:jc w:val="both"/>
              <w:rPr>
                <w:rFonts w:ascii="Times New Roman" w:hAnsi="Times New Roman" w:cs="Times New Roman"/>
              </w:rPr>
            </w:pPr>
            <w:r>
              <w:rPr>
                <w:rFonts w:ascii="Times New Roman" w:hAnsi="Times New Roman" w:cs="Times New Roman"/>
              </w:rPr>
              <w:t>Три ординатора второго года обучения трудоустроены в 2024 году по должности «врач-стажер» в БУ «Сургутская клиническая психоневрологическая больница».</w:t>
            </w:r>
          </w:p>
          <w:p w:rsidR="00DC1467" w:rsidRDefault="00B70D3E">
            <w:pPr>
              <w:pStyle w:val="aff5"/>
              <w:spacing w:line="235" w:lineRule="auto"/>
              <w:jc w:val="both"/>
              <w:rPr>
                <w:rFonts w:ascii="Times New Roman" w:hAnsi="Times New Roman" w:cs="Times New Roman"/>
              </w:rPr>
            </w:pPr>
            <w:r>
              <w:rPr>
                <w:rFonts w:ascii="Times New Roman" w:hAnsi="Times New Roman" w:cs="Times New Roman"/>
              </w:rPr>
              <w:t>Кроме того, за 2024 год трудоустроено 15 медицински</w:t>
            </w:r>
            <w:r>
              <w:rPr>
                <w:rFonts w:ascii="Times New Roman" w:hAnsi="Times New Roman" w:cs="Times New Roman"/>
              </w:rPr>
              <w:t>х сестер в наркологические подразделения медицинских организаций.</w:t>
            </w:r>
          </w:p>
        </w:tc>
      </w:tr>
      <w:tr w:rsidR="00DC1467">
        <w:tc>
          <w:tcPr>
            <w:tcW w:w="589" w:type="dxa"/>
          </w:tcPr>
          <w:p w:rsidR="00DC1467" w:rsidRDefault="00B70D3E">
            <w:pPr>
              <w:spacing w:line="235" w:lineRule="auto"/>
              <w:ind w:firstLine="0"/>
              <w:jc w:val="center"/>
              <w:outlineLvl w:val="1"/>
              <w:rPr>
                <w:sz w:val="22"/>
                <w:szCs w:val="22"/>
              </w:rPr>
            </w:pPr>
            <w:r>
              <w:rPr>
                <w:sz w:val="22"/>
                <w:szCs w:val="22"/>
              </w:rPr>
              <w:t>10</w:t>
            </w:r>
          </w:p>
        </w:tc>
        <w:tc>
          <w:tcPr>
            <w:tcW w:w="2780" w:type="dxa"/>
          </w:tcPr>
          <w:p w:rsidR="00DC1467" w:rsidRDefault="00B70D3E">
            <w:pPr>
              <w:pStyle w:val="ConsPlusNormal"/>
              <w:spacing w:line="235" w:lineRule="auto"/>
              <w:ind w:firstLine="0"/>
              <w:rPr>
                <w:rFonts w:ascii="Times New Roman" w:hAnsi="Times New Roman" w:cs="Times New Roman"/>
                <w:sz w:val="22"/>
                <w:szCs w:val="22"/>
              </w:rPr>
            </w:pPr>
            <w:r>
              <w:rPr>
                <w:rFonts w:ascii="Times New Roman" w:hAnsi="Times New Roman" w:cs="Times New Roman"/>
                <w:sz w:val="22"/>
                <w:szCs w:val="22"/>
              </w:rPr>
              <w:t>Реализация региональных мер социальной поддержки и стимулирования медицинских работников государственных медицинских организаций автономного округа, оказывающих медицинскую помощь по про</w:t>
            </w:r>
            <w:r>
              <w:rPr>
                <w:rFonts w:ascii="Times New Roman" w:hAnsi="Times New Roman" w:cs="Times New Roman"/>
                <w:sz w:val="22"/>
                <w:szCs w:val="22"/>
              </w:rPr>
              <w:t>филю «психиатрия-наркология», в том числе обеспечение служебным жильем, использование иных механизмов обеспечения жильем, предоставление единовременных выплат</w:t>
            </w:r>
          </w:p>
        </w:tc>
        <w:tc>
          <w:tcPr>
            <w:tcW w:w="6138" w:type="dxa"/>
          </w:tcPr>
          <w:p w:rsidR="00DC1467" w:rsidRDefault="00B70D3E">
            <w:pPr>
              <w:spacing w:line="235" w:lineRule="auto"/>
              <w:ind w:firstLine="0"/>
              <w:outlineLvl w:val="1"/>
              <w:rPr>
                <w:sz w:val="22"/>
                <w:szCs w:val="22"/>
              </w:rPr>
            </w:pPr>
            <w:r>
              <w:rPr>
                <w:sz w:val="22"/>
                <w:szCs w:val="22"/>
              </w:rPr>
              <w:t xml:space="preserve">Единовременные выплаты предоставляются при приёме на </w:t>
            </w:r>
            <w:r>
              <w:rPr>
                <w:sz w:val="22"/>
                <w:szCs w:val="22"/>
              </w:rPr>
              <w:t>работу молодым медицинским специалистам (впервые вступившим в трудовые отношения по данной должности в возрасте до 35 лет). Предоставление: компенсаций на оплату проезда к месту отдыха и обратно к месту жительства, раз в два года; единовременной материальн</w:t>
            </w:r>
            <w:r>
              <w:rPr>
                <w:sz w:val="22"/>
                <w:szCs w:val="22"/>
              </w:rPr>
              <w:t>ой выплаты к отпуску раз в год. Содействие в аренде жилья в части компенсации затрат на оплату. Обеспечение служебным жильем по договору социального найма.</w:t>
            </w:r>
          </w:p>
        </w:tc>
      </w:tr>
      <w:tr w:rsidR="00DC1467">
        <w:tc>
          <w:tcPr>
            <w:tcW w:w="589" w:type="dxa"/>
          </w:tcPr>
          <w:p w:rsidR="00DC1467" w:rsidRDefault="00B70D3E">
            <w:pPr>
              <w:spacing w:line="235" w:lineRule="auto"/>
              <w:ind w:firstLine="0"/>
              <w:jc w:val="center"/>
              <w:outlineLvl w:val="1"/>
              <w:rPr>
                <w:sz w:val="22"/>
                <w:szCs w:val="22"/>
              </w:rPr>
            </w:pPr>
            <w:r>
              <w:rPr>
                <w:sz w:val="22"/>
                <w:szCs w:val="22"/>
              </w:rPr>
              <w:t>11</w:t>
            </w:r>
          </w:p>
        </w:tc>
        <w:tc>
          <w:tcPr>
            <w:tcW w:w="2780" w:type="dxa"/>
          </w:tcPr>
          <w:p w:rsidR="00DC1467" w:rsidRDefault="00B70D3E">
            <w:pPr>
              <w:pStyle w:val="ConsPlusNormal"/>
              <w:spacing w:line="235" w:lineRule="auto"/>
              <w:ind w:firstLine="0"/>
              <w:rPr>
                <w:rFonts w:ascii="Times New Roman" w:hAnsi="Times New Roman" w:cs="Times New Roman"/>
                <w:sz w:val="22"/>
                <w:szCs w:val="22"/>
              </w:rPr>
            </w:pPr>
            <w:r>
              <w:rPr>
                <w:rFonts w:ascii="Times New Roman" w:hAnsi="Times New Roman" w:cs="Times New Roman"/>
                <w:sz w:val="22"/>
                <w:szCs w:val="22"/>
              </w:rPr>
              <w:t>Реализация мероприятий по организации и проведению консультативных, профилактических и противоэпидемических мероприятий по предупреждению распространения ВИЧ-инфекций</w:t>
            </w:r>
          </w:p>
        </w:tc>
        <w:tc>
          <w:tcPr>
            <w:tcW w:w="6138" w:type="dxa"/>
          </w:tcPr>
          <w:p w:rsidR="00DC1467" w:rsidRDefault="00B70D3E">
            <w:pPr>
              <w:spacing w:line="235" w:lineRule="auto"/>
              <w:ind w:firstLine="0"/>
              <w:rPr>
                <w:sz w:val="22"/>
                <w:szCs w:val="22"/>
              </w:rPr>
            </w:pPr>
            <w:r>
              <w:rPr>
                <w:sz w:val="22"/>
                <w:szCs w:val="22"/>
              </w:rPr>
              <w:t>Организуются и проводятся консультативные, профилактические и противоэпидемические меропр</w:t>
            </w:r>
            <w:r>
              <w:rPr>
                <w:sz w:val="22"/>
                <w:szCs w:val="22"/>
              </w:rPr>
              <w:t>иятия по предупреждению распространения ВИЧ-инфекции, а также повышению приверженности к лечению ВИЧ-инфицированных.</w:t>
            </w:r>
          </w:p>
          <w:p w:rsidR="00DC1467" w:rsidRDefault="00B70D3E">
            <w:pPr>
              <w:spacing w:line="235" w:lineRule="auto"/>
              <w:ind w:firstLine="0"/>
              <w:rPr>
                <w:sz w:val="22"/>
                <w:szCs w:val="22"/>
              </w:rPr>
            </w:pPr>
            <w:r>
              <w:rPr>
                <w:sz w:val="22"/>
                <w:szCs w:val="22"/>
              </w:rPr>
              <w:t xml:space="preserve">Профилактическая работа со взрослым населением, в том числе с группой повышенного риска (ПИН/ПАВ), осуществляется по следующим темам: </w:t>
            </w:r>
          </w:p>
          <w:p w:rsidR="00DC1467" w:rsidRDefault="00B70D3E">
            <w:pPr>
              <w:spacing w:line="235" w:lineRule="auto"/>
              <w:ind w:firstLine="0"/>
              <w:rPr>
                <w:sz w:val="22"/>
                <w:szCs w:val="22"/>
              </w:rPr>
            </w:pPr>
            <w:r>
              <w:rPr>
                <w:sz w:val="22"/>
                <w:szCs w:val="22"/>
              </w:rPr>
              <w:t>1. «</w:t>
            </w:r>
            <w:r>
              <w:rPr>
                <w:sz w:val="22"/>
                <w:szCs w:val="22"/>
              </w:rPr>
              <w:t xml:space="preserve">Профилактика ВИЧ» для трудовых коллективов, родителей, мигрантов, осужденных, потребителей ПАВ, ПИН.  </w:t>
            </w:r>
          </w:p>
          <w:p w:rsidR="00DC1467" w:rsidRDefault="00B70D3E">
            <w:pPr>
              <w:spacing w:line="235" w:lineRule="auto"/>
              <w:ind w:firstLine="0"/>
              <w:rPr>
                <w:sz w:val="22"/>
                <w:szCs w:val="22"/>
              </w:rPr>
            </w:pPr>
            <w:r>
              <w:rPr>
                <w:sz w:val="22"/>
                <w:szCs w:val="22"/>
              </w:rPr>
              <w:t xml:space="preserve">2. «На страже своего здоровья» для призывников и военнослужащих. </w:t>
            </w:r>
          </w:p>
          <w:p w:rsidR="00DC1467" w:rsidRDefault="00B70D3E">
            <w:pPr>
              <w:spacing w:line="235" w:lineRule="auto"/>
              <w:ind w:firstLine="0"/>
              <w:rPr>
                <w:sz w:val="22"/>
                <w:szCs w:val="22"/>
              </w:rPr>
            </w:pPr>
            <w:r>
              <w:rPr>
                <w:sz w:val="22"/>
                <w:szCs w:val="22"/>
              </w:rPr>
              <w:t xml:space="preserve">3. «Защити своего ребенка» для беременных, обратившихся в женские консультации. </w:t>
            </w:r>
          </w:p>
          <w:p w:rsidR="00DC1467" w:rsidRDefault="00B70D3E">
            <w:pPr>
              <w:spacing w:line="235" w:lineRule="auto"/>
              <w:ind w:firstLine="0"/>
              <w:rPr>
                <w:sz w:val="22"/>
                <w:szCs w:val="22"/>
              </w:rPr>
            </w:pPr>
            <w:r>
              <w:rPr>
                <w:sz w:val="22"/>
                <w:szCs w:val="22"/>
              </w:rPr>
              <w:t>За 202</w:t>
            </w:r>
            <w:r>
              <w:rPr>
                <w:sz w:val="22"/>
                <w:szCs w:val="22"/>
              </w:rPr>
              <w:t>4 год проведено 1148 профилактических мероприятий со взрослым населением, в том числе с группой повышенного риска (ПИН/ПАВ), количество участников 42010 человек, в 2023 году – 1257 мероприятий, число участников  36262.</w:t>
            </w:r>
          </w:p>
          <w:p w:rsidR="00DC1467" w:rsidRDefault="00B70D3E">
            <w:pPr>
              <w:tabs>
                <w:tab w:val="left" w:pos="283"/>
              </w:tabs>
              <w:spacing w:line="235" w:lineRule="auto"/>
              <w:ind w:firstLine="0"/>
              <w:rPr>
                <w:sz w:val="22"/>
                <w:szCs w:val="22"/>
              </w:rPr>
            </w:pPr>
            <w:r>
              <w:rPr>
                <w:sz w:val="22"/>
                <w:szCs w:val="22"/>
              </w:rPr>
              <w:t>Проведено в 2024 году 374 мероприятий</w:t>
            </w:r>
            <w:r>
              <w:rPr>
                <w:sz w:val="22"/>
                <w:szCs w:val="22"/>
              </w:rPr>
              <w:t xml:space="preserve"> с молодежью (учащиеся, студенты), направленных на профилактику инъекционного потребления наркотических веществ как фактор рискованного поведения в отношение заражения ВИЧ-инфекцией.  Количество участников 28375 человек. В 2023 году проведено 358 мероприят</w:t>
            </w:r>
            <w:r>
              <w:rPr>
                <w:sz w:val="22"/>
                <w:szCs w:val="22"/>
              </w:rPr>
              <w:t>ия, количество участников 26556 человек.</w:t>
            </w:r>
          </w:p>
          <w:p w:rsidR="00DC1467" w:rsidRDefault="00B70D3E">
            <w:pPr>
              <w:spacing w:line="235" w:lineRule="auto"/>
              <w:ind w:firstLine="0"/>
              <w:rPr>
                <w:sz w:val="22"/>
                <w:szCs w:val="22"/>
              </w:rPr>
            </w:pPr>
            <w:r>
              <w:rPr>
                <w:sz w:val="22"/>
                <w:szCs w:val="22"/>
              </w:rPr>
              <w:t>С целью профилактики зависимого поведения для диспансерной группы и повышения приверженности лечению, проведено 131 занятие «Школа пациента», участников 1990 человек.  В 2024 году 126 занятий, 1609 участников.</w:t>
            </w:r>
          </w:p>
          <w:p w:rsidR="00DC1467" w:rsidRDefault="00B70D3E">
            <w:pPr>
              <w:spacing w:line="235" w:lineRule="auto"/>
              <w:ind w:firstLine="0"/>
              <w:rPr>
                <w:sz w:val="22"/>
                <w:szCs w:val="22"/>
              </w:rPr>
            </w:pPr>
            <w:r>
              <w:rPr>
                <w:sz w:val="22"/>
                <w:szCs w:val="22"/>
              </w:rPr>
              <w:t xml:space="preserve">По итогам 2024 года парентеральный путь инфицирования, связанный с употреблением наркотических веществ, установлен у 35 ВИЧ-инфицированных или 6,5% от всех впервые выявленных случаев ВИЧ-инфекции. </w:t>
            </w:r>
          </w:p>
          <w:p w:rsidR="00DC1467" w:rsidRDefault="00B70D3E">
            <w:pPr>
              <w:spacing w:line="235" w:lineRule="auto"/>
              <w:ind w:firstLine="0"/>
              <w:rPr>
                <w:sz w:val="22"/>
                <w:szCs w:val="22"/>
              </w:rPr>
            </w:pPr>
            <w:r>
              <w:rPr>
                <w:sz w:val="22"/>
                <w:szCs w:val="22"/>
              </w:rPr>
              <w:t>В 2024 году на антитела к ВИЧ (больные с подозрением или п</w:t>
            </w:r>
            <w:r>
              <w:rPr>
                <w:sz w:val="22"/>
                <w:szCs w:val="22"/>
              </w:rPr>
              <w:t>одтвержденным диагнозом «наркомания») в автономном округе было обследовано 345 человек, случаев выявления ВИЧ – 0 (лица, употребляющие психоактивные вещества) обследовано 4414 человек, выявлено наличие ВИЧ у 18 человек.</w:t>
            </w:r>
          </w:p>
          <w:p w:rsidR="00DC1467" w:rsidRDefault="00B70D3E">
            <w:pPr>
              <w:spacing w:line="235" w:lineRule="auto"/>
              <w:ind w:firstLine="0"/>
              <w:rPr>
                <w:sz w:val="22"/>
                <w:szCs w:val="22"/>
              </w:rPr>
            </w:pPr>
            <w:r>
              <w:rPr>
                <w:sz w:val="22"/>
                <w:szCs w:val="22"/>
              </w:rPr>
              <w:t>Обеспечивается деятельность (оказани</w:t>
            </w:r>
            <w:r>
              <w:rPr>
                <w:sz w:val="22"/>
                <w:szCs w:val="22"/>
              </w:rPr>
              <w:t>я услуг, выполнения работ) государственных учреждений по профилю деятельности.</w:t>
            </w:r>
          </w:p>
        </w:tc>
      </w:tr>
      <w:tr w:rsidR="00DC1467">
        <w:tc>
          <w:tcPr>
            <w:tcW w:w="589" w:type="dxa"/>
          </w:tcPr>
          <w:p w:rsidR="00DC1467" w:rsidRDefault="00B70D3E">
            <w:pPr>
              <w:spacing w:line="235" w:lineRule="auto"/>
              <w:ind w:firstLine="0"/>
              <w:jc w:val="center"/>
              <w:outlineLvl w:val="1"/>
              <w:rPr>
                <w:sz w:val="22"/>
                <w:szCs w:val="22"/>
              </w:rPr>
            </w:pPr>
            <w:r>
              <w:rPr>
                <w:sz w:val="22"/>
                <w:szCs w:val="22"/>
              </w:rPr>
              <w:t>12</w:t>
            </w:r>
          </w:p>
        </w:tc>
        <w:tc>
          <w:tcPr>
            <w:tcW w:w="2780" w:type="dxa"/>
          </w:tcPr>
          <w:p w:rsidR="00DC1467" w:rsidRDefault="00B70D3E">
            <w:pPr>
              <w:pStyle w:val="ConsPlusNormal"/>
              <w:spacing w:line="235" w:lineRule="auto"/>
              <w:ind w:firstLine="0"/>
              <w:rPr>
                <w:rFonts w:ascii="Times New Roman" w:hAnsi="Times New Roman" w:cs="Times New Roman"/>
                <w:sz w:val="22"/>
                <w:szCs w:val="22"/>
              </w:rPr>
            </w:pPr>
            <w:r>
              <w:rPr>
                <w:rFonts w:ascii="Times New Roman" w:hAnsi="Times New Roman" w:cs="Times New Roman"/>
                <w:sz w:val="22"/>
                <w:szCs w:val="22"/>
              </w:rPr>
              <w:t>Обеспечение доступа социально ориентированных некоммерческих организаций к предоставлению услуг в сфере здравоохранения</w:t>
            </w:r>
          </w:p>
        </w:tc>
        <w:tc>
          <w:tcPr>
            <w:tcW w:w="6138" w:type="dxa"/>
          </w:tcPr>
          <w:p w:rsidR="00DC1467" w:rsidRDefault="00B70D3E">
            <w:pPr>
              <w:spacing w:line="235" w:lineRule="auto"/>
              <w:ind w:firstLine="0"/>
              <w:outlineLvl w:val="1"/>
              <w:rPr>
                <w:sz w:val="22"/>
                <w:szCs w:val="22"/>
              </w:rPr>
            </w:pPr>
            <w:r>
              <w:rPr>
                <w:sz w:val="22"/>
                <w:szCs w:val="22"/>
              </w:rPr>
              <w:t>В рамках реализации мероприятий государственной прогр</w:t>
            </w:r>
            <w:r>
              <w:rPr>
                <w:sz w:val="22"/>
                <w:szCs w:val="22"/>
              </w:rPr>
              <w:t>аммы Ханты-Мансийского автономного округа – Югры «Современное здравоохранение» Депздравом Югры проводится работа с привлечением социально ориентированных негосударственных коммерческих организаций к оказанию медицинской помощи в том числе по проекту «профи</w:t>
            </w:r>
            <w:r>
              <w:rPr>
                <w:sz w:val="22"/>
                <w:szCs w:val="22"/>
              </w:rPr>
              <w:t>лактика незаконного потребления наркотических средств и психотропных веществ, наркомании».</w:t>
            </w:r>
          </w:p>
        </w:tc>
      </w:tr>
      <w:tr w:rsidR="00DC1467">
        <w:tc>
          <w:tcPr>
            <w:tcW w:w="589" w:type="dxa"/>
          </w:tcPr>
          <w:p w:rsidR="00DC1467" w:rsidRDefault="00B70D3E">
            <w:pPr>
              <w:spacing w:line="235" w:lineRule="auto"/>
              <w:ind w:firstLine="0"/>
              <w:jc w:val="center"/>
              <w:outlineLvl w:val="1"/>
              <w:rPr>
                <w:sz w:val="22"/>
                <w:szCs w:val="22"/>
              </w:rPr>
            </w:pPr>
            <w:r>
              <w:rPr>
                <w:sz w:val="22"/>
                <w:szCs w:val="22"/>
              </w:rPr>
              <w:t>13</w:t>
            </w:r>
          </w:p>
        </w:tc>
        <w:tc>
          <w:tcPr>
            <w:tcW w:w="2780" w:type="dxa"/>
          </w:tcPr>
          <w:p w:rsidR="00DC1467" w:rsidRDefault="00B70D3E">
            <w:pPr>
              <w:pStyle w:val="ConsPlusNormal"/>
              <w:spacing w:line="235" w:lineRule="auto"/>
              <w:ind w:firstLine="0"/>
              <w:rPr>
                <w:rFonts w:ascii="Times New Roman" w:hAnsi="Times New Roman" w:cs="Times New Roman"/>
                <w:sz w:val="22"/>
                <w:szCs w:val="22"/>
              </w:rPr>
            </w:pPr>
            <w:r>
              <w:rPr>
                <w:rFonts w:ascii="Times New Roman" w:hAnsi="Times New Roman" w:cs="Times New Roman"/>
                <w:sz w:val="22"/>
                <w:szCs w:val="22"/>
              </w:rPr>
              <w:t>Совершенствование системы оказания медицинской помощи наркологическим больным, включая мероприятия профилактической направленности</w:t>
            </w:r>
          </w:p>
        </w:tc>
        <w:tc>
          <w:tcPr>
            <w:tcW w:w="6138" w:type="dxa"/>
          </w:tcPr>
          <w:p w:rsidR="00DC1467" w:rsidRDefault="00B70D3E">
            <w:pPr>
              <w:spacing w:line="235" w:lineRule="auto"/>
              <w:ind w:firstLine="0"/>
              <w:outlineLvl w:val="1"/>
              <w:rPr>
                <w:sz w:val="22"/>
                <w:szCs w:val="22"/>
              </w:rPr>
            </w:pPr>
            <w:r>
              <w:rPr>
                <w:sz w:val="22"/>
                <w:szCs w:val="22"/>
              </w:rPr>
              <w:t>Приобретены медицинские диагно</w:t>
            </w:r>
            <w:r>
              <w:rPr>
                <w:sz w:val="22"/>
                <w:szCs w:val="22"/>
              </w:rPr>
              <w:t>стические реагенты, в количестве 1290 шт., (одноразовая тест-панель погружного типа для определения 12 и 13 видов наркотических веществ и их метаболитов (Амфетамин, Барбитураты, Бензодиазепины, Кокаин, Этилглюкуронид, Синтетические каннабиноиды, Метилендио</w:t>
            </w:r>
            <w:r>
              <w:rPr>
                <w:sz w:val="22"/>
                <w:szCs w:val="22"/>
              </w:rPr>
              <w:t>ксиметамфетамин, Катионы, Метамфетамин, Метадон, Опиаты, Фенциклидин, Марихуана), для проведения экспертных исследований в области определения состояний опьянения у лиц, употребивших психоактивные вещества.</w:t>
            </w:r>
          </w:p>
        </w:tc>
      </w:tr>
      <w:tr w:rsidR="00DC1467">
        <w:tc>
          <w:tcPr>
            <w:tcW w:w="589" w:type="dxa"/>
          </w:tcPr>
          <w:p w:rsidR="00DC1467" w:rsidRDefault="00B70D3E">
            <w:pPr>
              <w:spacing w:line="235" w:lineRule="auto"/>
              <w:ind w:firstLine="0"/>
              <w:jc w:val="center"/>
              <w:outlineLvl w:val="1"/>
              <w:rPr>
                <w:sz w:val="22"/>
                <w:szCs w:val="22"/>
              </w:rPr>
            </w:pPr>
            <w:r>
              <w:rPr>
                <w:sz w:val="22"/>
                <w:szCs w:val="22"/>
              </w:rPr>
              <w:t>14</w:t>
            </w:r>
          </w:p>
        </w:tc>
        <w:tc>
          <w:tcPr>
            <w:tcW w:w="2780" w:type="dxa"/>
          </w:tcPr>
          <w:p w:rsidR="00DC1467" w:rsidRDefault="00B70D3E">
            <w:pPr>
              <w:pStyle w:val="ConsPlusNormal"/>
              <w:spacing w:line="235" w:lineRule="auto"/>
              <w:ind w:firstLine="0"/>
              <w:rPr>
                <w:rFonts w:ascii="Times New Roman" w:hAnsi="Times New Roman" w:cs="Times New Roman"/>
                <w:sz w:val="22"/>
                <w:szCs w:val="22"/>
              </w:rPr>
            </w:pPr>
            <w:r>
              <w:rPr>
                <w:rFonts w:ascii="Times New Roman" w:hAnsi="Times New Roman" w:cs="Times New Roman"/>
                <w:sz w:val="22"/>
                <w:szCs w:val="22"/>
              </w:rPr>
              <w:t>Предоставление сертификатов на оплату услуг п</w:t>
            </w:r>
            <w:r>
              <w:rPr>
                <w:rFonts w:ascii="Times New Roman" w:hAnsi="Times New Roman" w:cs="Times New Roman"/>
                <w:sz w:val="22"/>
                <w:szCs w:val="22"/>
              </w:rPr>
              <w:t>о социальной реабилитации и ресоциализации гражданам, страдающим наркологическими заболеваниями</w:t>
            </w:r>
          </w:p>
        </w:tc>
        <w:tc>
          <w:tcPr>
            <w:tcW w:w="6138" w:type="dxa"/>
          </w:tcPr>
          <w:p w:rsidR="00DC1467" w:rsidRDefault="00B70D3E">
            <w:pPr>
              <w:spacing w:line="235" w:lineRule="auto"/>
              <w:ind w:firstLine="0"/>
              <w:outlineLvl w:val="1"/>
              <w:rPr>
                <w:sz w:val="22"/>
                <w:szCs w:val="22"/>
              </w:rPr>
            </w:pPr>
            <w:r>
              <w:rPr>
                <w:sz w:val="22"/>
                <w:szCs w:val="22"/>
              </w:rPr>
              <w:t>В 2024 году в автономном округе услуги по социальной реабилитации и ресоциализации лиц, употреблявших наркотические, психотропные и (или) иные токсические вещес</w:t>
            </w:r>
            <w:r>
              <w:rPr>
                <w:sz w:val="22"/>
                <w:szCs w:val="22"/>
              </w:rPr>
              <w:t xml:space="preserve">тва и прошедших обследование и лечение </w:t>
            </w:r>
            <w:r>
              <w:rPr>
                <w:sz w:val="22"/>
                <w:szCs w:val="22"/>
              </w:rPr>
              <w:br/>
              <w:t>от зависимости, (далее – услуги по социальной реабилитации) предоставляли 4 негосударственных поставщика социальных услуг:</w:t>
            </w:r>
          </w:p>
          <w:p w:rsidR="00DC1467" w:rsidRDefault="00B70D3E">
            <w:pPr>
              <w:spacing w:line="235" w:lineRule="auto"/>
              <w:ind w:firstLine="0"/>
              <w:outlineLvl w:val="1"/>
              <w:rPr>
                <w:sz w:val="22"/>
                <w:szCs w:val="22"/>
              </w:rPr>
            </w:pPr>
            <w:r>
              <w:rPr>
                <w:sz w:val="22"/>
                <w:szCs w:val="22"/>
              </w:rPr>
              <w:t>- РОО организация по профилактике и реабилитации лиц, страдающих заболеваниями наркоманией и алкоголизмом «Чистый путь», г.Сургут;</w:t>
            </w:r>
          </w:p>
          <w:p w:rsidR="00DC1467" w:rsidRDefault="00B70D3E">
            <w:pPr>
              <w:spacing w:line="235" w:lineRule="auto"/>
              <w:ind w:firstLine="0"/>
              <w:contextualSpacing/>
              <w:rPr>
                <w:sz w:val="22"/>
                <w:szCs w:val="22"/>
              </w:rPr>
            </w:pPr>
            <w:r>
              <w:rPr>
                <w:sz w:val="22"/>
                <w:szCs w:val="22"/>
              </w:rPr>
              <w:t>- АНО «Центр социальной реабилитации «Феникс», г.Нижневартовск;</w:t>
            </w:r>
          </w:p>
          <w:p w:rsidR="00DC1467" w:rsidRDefault="00B70D3E">
            <w:pPr>
              <w:spacing w:line="235" w:lineRule="auto"/>
              <w:ind w:firstLine="0"/>
              <w:contextualSpacing/>
              <w:rPr>
                <w:sz w:val="22"/>
                <w:szCs w:val="22"/>
              </w:rPr>
            </w:pPr>
            <w:r>
              <w:rPr>
                <w:sz w:val="22"/>
                <w:szCs w:val="22"/>
              </w:rPr>
              <w:t>- региональная благотворительная общественная организация соц</w:t>
            </w:r>
            <w:r>
              <w:rPr>
                <w:sz w:val="22"/>
                <w:szCs w:val="22"/>
              </w:rPr>
              <w:t>иальной адаптации граждан «Фавор» ХМАО-Югры, г.Ханты-Мансийск;</w:t>
            </w:r>
          </w:p>
          <w:p w:rsidR="00DC1467" w:rsidRDefault="00B70D3E">
            <w:pPr>
              <w:pStyle w:val="ad"/>
              <w:spacing w:line="235" w:lineRule="auto"/>
              <w:ind w:left="0" w:firstLine="0"/>
              <w:rPr>
                <w:sz w:val="22"/>
                <w:szCs w:val="22"/>
              </w:rPr>
            </w:pPr>
            <w:r>
              <w:rPr>
                <w:sz w:val="22"/>
                <w:szCs w:val="22"/>
              </w:rPr>
              <w:t>- благотворительный Фонд социальной и духовной помощи «Вефиль», г.Югорск.</w:t>
            </w:r>
          </w:p>
          <w:p w:rsidR="00DC1467" w:rsidRDefault="00B70D3E">
            <w:pPr>
              <w:pStyle w:val="ad"/>
              <w:spacing w:line="235" w:lineRule="auto"/>
              <w:ind w:left="0" w:firstLine="0"/>
              <w:rPr>
                <w:sz w:val="22"/>
                <w:szCs w:val="22"/>
              </w:rPr>
            </w:pPr>
            <w:r>
              <w:rPr>
                <w:sz w:val="22"/>
                <w:szCs w:val="22"/>
              </w:rPr>
              <w:t>Услуги по социальной реабилитации в рамках сертификатов указанными негосударственными органнизациями в 2024 году предос</w:t>
            </w:r>
            <w:r>
              <w:rPr>
                <w:sz w:val="22"/>
                <w:szCs w:val="22"/>
              </w:rPr>
              <w:t>тавлены 32 гражданам целевой категории. Объем финансирования реализации сертификатов составил 4 866,2 тыс.руб.</w:t>
            </w:r>
          </w:p>
        </w:tc>
      </w:tr>
      <w:tr w:rsidR="00DC1467">
        <w:tc>
          <w:tcPr>
            <w:tcW w:w="589" w:type="dxa"/>
          </w:tcPr>
          <w:p w:rsidR="00DC1467" w:rsidRDefault="00B70D3E">
            <w:pPr>
              <w:spacing w:line="235" w:lineRule="auto"/>
              <w:ind w:firstLine="0"/>
              <w:jc w:val="center"/>
              <w:outlineLvl w:val="1"/>
              <w:rPr>
                <w:sz w:val="22"/>
                <w:szCs w:val="22"/>
              </w:rPr>
            </w:pPr>
            <w:r>
              <w:rPr>
                <w:sz w:val="22"/>
                <w:szCs w:val="22"/>
              </w:rPr>
              <w:t>15</w:t>
            </w:r>
          </w:p>
        </w:tc>
        <w:tc>
          <w:tcPr>
            <w:tcW w:w="2780" w:type="dxa"/>
          </w:tcPr>
          <w:p w:rsidR="00DC1467" w:rsidRDefault="00B70D3E">
            <w:pPr>
              <w:pStyle w:val="ConsPlusNormal"/>
              <w:spacing w:line="235" w:lineRule="auto"/>
              <w:ind w:firstLine="0"/>
              <w:jc w:val="both"/>
              <w:rPr>
                <w:rFonts w:ascii="Times New Roman" w:hAnsi="Times New Roman" w:cs="Times New Roman"/>
                <w:sz w:val="22"/>
                <w:szCs w:val="22"/>
              </w:rPr>
            </w:pPr>
            <w:r>
              <w:rPr>
                <w:rFonts w:ascii="Times New Roman" w:hAnsi="Times New Roman" w:cs="Times New Roman"/>
                <w:sz w:val="22"/>
                <w:szCs w:val="22"/>
              </w:rPr>
              <w:t>Предоставление компенсации поставщикам социальных услуг, занимающимся вопросами комплексной реабилитации и ресоциализации наркопотребителей</w:t>
            </w:r>
          </w:p>
        </w:tc>
        <w:tc>
          <w:tcPr>
            <w:tcW w:w="6138" w:type="dxa"/>
          </w:tcPr>
          <w:p w:rsidR="00DC1467" w:rsidRDefault="00B70D3E">
            <w:pPr>
              <w:spacing w:line="235" w:lineRule="auto"/>
              <w:ind w:firstLine="0"/>
              <w:contextualSpacing/>
              <w:outlineLvl w:val="1"/>
              <w:rPr>
                <w:sz w:val="22"/>
                <w:szCs w:val="22"/>
              </w:rPr>
            </w:pPr>
            <w:r>
              <w:rPr>
                <w:sz w:val="22"/>
                <w:szCs w:val="22"/>
              </w:rPr>
              <w:t>В</w:t>
            </w:r>
            <w:r>
              <w:rPr>
                <w:sz w:val="22"/>
                <w:szCs w:val="22"/>
              </w:rPr>
              <w:t xml:space="preserve"> 2024 году субсидия на возмещение затрат за оказанные услуги по социальной реабилитации (компенсация) </w:t>
            </w:r>
            <w:r>
              <w:rPr>
                <w:sz w:val="22"/>
                <w:szCs w:val="22"/>
              </w:rPr>
              <w:br/>
              <w:t xml:space="preserve">из бюджета автономного округа предоставлена </w:t>
            </w:r>
            <w:r>
              <w:rPr>
                <w:sz w:val="22"/>
                <w:szCs w:val="22"/>
              </w:rPr>
              <w:br/>
              <w:t>РОО «Чистый путь» в объеме 3 505,1 тыс.руб.</w:t>
            </w:r>
          </w:p>
          <w:p w:rsidR="00DC1467" w:rsidRDefault="00B70D3E">
            <w:pPr>
              <w:spacing w:line="235" w:lineRule="auto"/>
              <w:ind w:firstLine="0"/>
              <w:contextualSpacing/>
              <w:outlineLvl w:val="1"/>
              <w:rPr>
                <w:sz w:val="22"/>
                <w:szCs w:val="22"/>
              </w:rPr>
            </w:pPr>
            <w:r>
              <w:rPr>
                <w:sz w:val="22"/>
                <w:szCs w:val="22"/>
              </w:rPr>
              <w:t xml:space="preserve">Кроме того, из регионального бюджета в 2024 году </w:t>
            </w:r>
            <w:r>
              <w:rPr>
                <w:sz w:val="22"/>
                <w:szCs w:val="22"/>
              </w:rPr>
              <w:br/>
            </w:r>
            <w:r>
              <w:rPr>
                <w:sz w:val="22"/>
                <w:szCs w:val="22"/>
              </w:rPr>
              <w:t xml:space="preserve">АНО «Феникс» предоставлена субсидия на финансовое обеспечение затрат, связанных с предоставлением услуг </w:t>
            </w:r>
            <w:r>
              <w:rPr>
                <w:sz w:val="22"/>
                <w:szCs w:val="22"/>
              </w:rPr>
              <w:br/>
              <w:t>по социальной реабилитации, в объеме 7 483,1 тыс.руб.</w:t>
            </w:r>
          </w:p>
        </w:tc>
      </w:tr>
    </w:tbl>
    <w:p w:rsidR="00DC1467" w:rsidRDefault="00DC1467">
      <w:pPr>
        <w:tabs>
          <w:tab w:val="left" w:pos="540"/>
        </w:tabs>
        <w:spacing w:line="240" w:lineRule="auto"/>
        <w:ind w:firstLine="0"/>
        <w:rPr>
          <w:sz w:val="22"/>
          <w:szCs w:val="22"/>
        </w:rPr>
      </w:pPr>
    </w:p>
    <w:p w:rsidR="00DC1467" w:rsidRDefault="00DC1467">
      <w:pPr>
        <w:tabs>
          <w:tab w:val="left" w:pos="540"/>
        </w:tabs>
        <w:spacing w:line="240" w:lineRule="auto"/>
        <w:ind w:firstLine="709"/>
      </w:pPr>
    </w:p>
    <w:p w:rsidR="00DC1467" w:rsidRDefault="00DC1467">
      <w:pPr>
        <w:spacing w:line="276" w:lineRule="auto"/>
        <w:ind w:firstLine="709"/>
        <w:rPr>
          <w:rFonts w:eastAsia="Calibri"/>
          <w:b/>
          <w:bCs/>
          <w:i/>
        </w:rPr>
      </w:pPr>
    </w:p>
    <w:p w:rsidR="00DC1467" w:rsidRDefault="00B70D3E">
      <w:pPr>
        <w:spacing w:line="276" w:lineRule="auto"/>
        <w:ind w:firstLine="709"/>
        <w:rPr>
          <w:rFonts w:eastAsia="Calibri"/>
          <w:b/>
          <w:bCs/>
          <w:i/>
        </w:rPr>
      </w:pPr>
      <w:r>
        <w:rPr>
          <w:rFonts w:eastAsia="Calibri"/>
          <w:b/>
          <w:i/>
        </w:rPr>
        <w:t>4. «Сокращение количества преступлений и правонарушений, связанных с незаконным оборотом нарк</w:t>
      </w:r>
      <w:r>
        <w:rPr>
          <w:rFonts w:eastAsia="Calibri"/>
          <w:b/>
          <w:i/>
        </w:rPr>
        <w:t>отиков»</w:t>
      </w:r>
    </w:p>
    <w:p w:rsidR="00DC1467" w:rsidRDefault="00B70D3E">
      <w:pPr>
        <w:spacing w:line="276" w:lineRule="auto"/>
        <w:ind w:firstLine="709"/>
      </w:pPr>
      <w:r>
        <w:t>Задачи, решаемые в этом приоритетном направлении:</w:t>
      </w:r>
    </w:p>
    <w:p w:rsidR="00DC1467" w:rsidRDefault="00B70D3E">
      <w:pPr>
        <w:spacing w:line="276" w:lineRule="auto"/>
        <w:ind w:firstLine="709"/>
        <w:rPr>
          <w:rFonts w:eastAsia="Calibri"/>
        </w:rPr>
      </w:pPr>
      <w:r>
        <w:rPr>
          <w:rFonts w:eastAsia="Calibri"/>
        </w:rPr>
        <w:t>снижение уровня рецидивной преступности в сфере незаконного оборота наркотиков;</w:t>
      </w:r>
    </w:p>
    <w:p w:rsidR="00DC1467" w:rsidRDefault="00B70D3E">
      <w:pPr>
        <w:spacing w:line="276" w:lineRule="auto"/>
        <w:ind w:firstLine="709"/>
        <w:rPr>
          <w:rFonts w:eastAsia="Calibri"/>
        </w:rPr>
      </w:pPr>
      <w:r>
        <w:rPr>
          <w:rFonts w:eastAsia="Calibri"/>
        </w:rPr>
        <w:t xml:space="preserve">повышение уровня информированности населения </w:t>
      </w:r>
      <w:r>
        <w:rPr>
          <w:rFonts w:eastAsia="Calibri"/>
        </w:rPr>
        <w:br/>
      </w:r>
      <w:r>
        <w:rPr>
          <w:rFonts w:eastAsia="Calibri"/>
        </w:rPr>
        <w:t>о предусмотренной законодательством уголовной и административной ответственности за совершение преступлений и правонарушений, связанных с незаконным оборотом наркотиков.</w:t>
      </w:r>
    </w:p>
    <w:p w:rsidR="00DC1467" w:rsidRDefault="00B70D3E">
      <w:pPr>
        <w:pStyle w:val="ad"/>
        <w:widowControl w:val="0"/>
        <w:spacing w:line="276" w:lineRule="auto"/>
        <w:ind w:left="0" w:firstLine="709"/>
      </w:pPr>
      <w:r>
        <w:t>Меры, обеспечивающие решение указанных задач:</w:t>
      </w:r>
    </w:p>
    <w:p w:rsidR="00DC1467" w:rsidRDefault="00B70D3E">
      <w:pPr>
        <w:spacing w:line="276" w:lineRule="auto"/>
        <w:ind w:firstLine="709"/>
        <w:rPr>
          <w:rFonts w:eastAsia="Calibri"/>
        </w:rPr>
      </w:pPr>
      <w:r>
        <w:rPr>
          <w:rFonts w:eastAsia="Calibri"/>
        </w:rPr>
        <w:t>создание условий для медицинской и социа</w:t>
      </w:r>
      <w:r>
        <w:rPr>
          <w:rFonts w:eastAsia="Calibri"/>
        </w:rPr>
        <w:t>льной реабилитации наркопотребителей, включая лиц, освободившихся из мест лишения свободы;</w:t>
      </w:r>
    </w:p>
    <w:p w:rsidR="00DC1467" w:rsidRDefault="00B70D3E">
      <w:pPr>
        <w:spacing w:line="276" w:lineRule="auto"/>
        <w:ind w:firstLine="709"/>
        <w:rPr>
          <w:rFonts w:eastAsia="Calibri"/>
        </w:rPr>
      </w:pPr>
      <w:r>
        <w:rPr>
          <w:rFonts w:eastAsia="Calibri"/>
        </w:rPr>
        <w:t xml:space="preserve">выявление и пресечение функционирования в сети Интернет ресурсов, используемых для пропаганды незаконных потребления </w:t>
      </w:r>
      <w:r>
        <w:rPr>
          <w:rFonts w:eastAsia="Calibri"/>
        </w:rPr>
        <w:br/>
        <w:t>и распространения наркотиков;</w:t>
      </w:r>
    </w:p>
    <w:p w:rsidR="00DC1467" w:rsidRDefault="00B70D3E">
      <w:pPr>
        <w:spacing w:line="276" w:lineRule="auto"/>
        <w:ind w:firstLine="709"/>
        <w:rPr>
          <w:rFonts w:eastAsia="Calibri"/>
        </w:rPr>
      </w:pPr>
      <w:r>
        <w:rPr>
          <w:rFonts w:eastAsia="Calibri"/>
        </w:rPr>
        <w:t>антинаркотическая</w:t>
      </w:r>
      <w:r>
        <w:rPr>
          <w:rFonts w:eastAsia="Calibri"/>
        </w:rPr>
        <w:t xml:space="preserve"> пропаганда и информационное сопровождение деятельности правоохранительных органов по противодействию незаконному обороту наркотиков.</w:t>
      </w:r>
    </w:p>
    <w:p w:rsidR="00DC1467" w:rsidRDefault="00B70D3E">
      <w:pPr>
        <w:tabs>
          <w:tab w:val="left" w:pos="540"/>
        </w:tabs>
        <w:spacing w:line="240" w:lineRule="auto"/>
        <w:ind w:firstLine="709"/>
      </w:pPr>
      <w:r>
        <w:t>Информация о реализации указанного приоритетного направления:</w:t>
      </w:r>
    </w:p>
    <w:p w:rsidR="00DC1467" w:rsidRDefault="00DC1467">
      <w:pPr>
        <w:tabs>
          <w:tab w:val="left" w:pos="540"/>
        </w:tabs>
        <w:spacing w:line="240" w:lineRule="auto"/>
        <w:ind w:firstLine="709"/>
      </w:pPr>
    </w:p>
    <w:tbl>
      <w:tblPr>
        <w:tblStyle w:val="ac"/>
        <w:tblW w:w="0" w:type="auto"/>
        <w:tblLook w:val="04A0" w:firstRow="1" w:lastRow="0" w:firstColumn="1" w:lastColumn="0" w:noHBand="0" w:noVBand="1"/>
      </w:tblPr>
      <w:tblGrid>
        <w:gridCol w:w="671"/>
        <w:gridCol w:w="2839"/>
        <w:gridCol w:w="5919"/>
      </w:tblGrid>
      <w:tr w:rsidR="00DC1467">
        <w:trPr>
          <w:tblHeader/>
        </w:trPr>
        <w:tc>
          <w:tcPr>
            <w:tcW w:w="671" w:type="dxa"/>
            <w:vAlign w:val="center"/>
          </w:tcPr>
          <w:p w:rsidR="00DC1467" w:rsidRDefault="00B70D3E">
            <w:pPr>
              <w:spacing w:line="238" w:lineRule="auto"/>
              <w:ind w:firstLine="0"/>
              <w:jc w:val="center"/>
              <w:rPr>
                <w:sz w:val="22"/>
                <w:szCs w:val="22"/>
              </w:rPr>
            </w:pPr>
            <w:r>
              <w:rPr>
                <w:sz w:val="22"/>
                <w:szCs w:val="22"/>
              </w:rPr>
              <w:t>№ п/п</w:t>
            </w:r>
          </w:p>
        </w:tc>
        <w:tc>
          <w:tcPr>
            <w:tcW w:w="2839" w:type="dxa"/>
            <w:vAlign w:val="center"/>
          </w:tcPr>
          <w:p w:rsidR="00DC1467" w:rsidRDefault="00B70D3E">
            <w:pPr>
              <w:spacing w:line="238" w:lineRule="auto"/>
              <w:ind w:firstLine="0"/>
              <w:jc w:val="center"/>
              <w:rPr>
                <w:sz w:val="22"/>
                <w:szCs w:val="22"/>
              </w:rPr>
            </w:pPr>
            <w:r>
              <w:rPr>
                <w:sz w:val="22"/>
                <w:szCs w:val="22"/>
              </w:rPr>
              <w:t>Мероприятия</w:t>
            </w:r>
          </w:p>
        </w:tc>
        <w:tc>
          <w:tcPr>
            <w:tcW w:w="5919" w:type="dxa"/>
            <w:vAlign w:val="center"/>
          </w:tcPr>
          <w:p w:rsidR="00DC1467" w:rsidRDefault="00B70D3E">
            <w:pPr>
              <w:tabs>
                <w:tab w:val="left" w:pos="540"/>
              </w:tabs>
              <w:spacing w:line="238" w:lineRule="auto"/>
              <w:ind w:firstLine="0"/>
              <w:jc w:val="center"/>
              <w:rPr>
                <w:sz w:val="22"/>
                <w:szCs w:val="22"/>
              </w:rPr>
            </w:pPr>
            <w:r>
              <w:rPr>
                <w:sz w:val="22"/>
                <w:szCs w:val="22"/>
              </w:rPr>
              <w:t>Информация о реализации</w:t>
            </w:r>
          </w:p>
        </w:tc>
      </w:tr>
      <w:tr w:rsidR="00DC1467">
        <w:tc>
          <w:tcPr>
            <w:tcW w:w="671" w:type="dxa"/>
          </w:tcPr>
          <w:p w:rsidR="00DC1467" w:rsidRDefault="00B70D3E">
            <w:pPr>
              <w:tabs>
                <w:tab w:val="left" w:pos="540"/>
              </w:tabs>
              <w:spacing w:line="238" w:lineRule="auto"/>
              <w:ind w:firstLine="0"/>
              <w:jc w:val="center"/>
              <w:rPr>
                <w:sz w:val="22"/>
                <w:szCs w:val="22"/>
              </w:rPr>
            </w:pPr>
            <w:r>
              <w:rPr>
                <w:sz w:val="22"/>
                <w:szCs w:val="22"/>
              </w:rPr>
              <w:t>1</w:t>
            </w:r>
          </w:p>
        </w:tc>
        <w:tc>
          <w:tcPr>
            <w:tcW w:w="2839" w:type="dxa"/>
          </w:tcPr>
          <w:p w:rsidR="00DC1467" w:rsidRDefault="00B70D3E">
            <w:pPr>
              <w:spacing w:line="238" w:lineRule="auto"/>
              <w:ind w:firstLine="0"/>
              <w:jc w:val="left"/>
              <w:rPr>
                <w:sz w:val="22"/>
                <w:szCs w:val="22"/>
              </w:rPr>
            </w:pPr>
            <w:r>
              <w:rPr>
                <w:rFonts w:eastAsia="Calibri"/>
                <w:sz w:val="22"/>
                <w:szCs w:val="22"/>
              </w:rPr>
              <w:t xml:space="preserve">Выявление и пресечение функционирования в сети Интернет ресурсов, используемых для пропаганды незаконных потребления </w:t>
            </w:r>
            <w:r>
              <w:rPr>
                <w:rFonts w:eastAsia="Calibri"/>
                <w:sz w:val="22"/>
                <w:szCs w:val="22"/>
              </w:rPr>
              <w:br/>
              <w:t>и распространения наркотиков</w:t>
            </w:r>
          </w:p>
        </w:tc>
        <w:tc>
          <w:tcPr>
            <w:tcW w:w="5919" w:type="dxa"/>
          </w:tcPr>
          <w:p w:rsidR="00DC1467" w:rsidRDefault="00B70D3E">
            <w:pPr>
              <w:spacing w:line="238" w:lineRule="auto"/>
              <w:ind w:firstLine="0"/>
              <w:rPr>
                <w:sz w:val="22"/>
                <w:szCs w:val="22"/>
              </w:rPr>
            </w:pPr>
            <w:r>
              <w:rPr>
                <w:sz w:val="22"/>
                <w:szCs w:val="22"/>
              </w:rPr>
              <w:t>В целях противодействия пропаганде и рекламе наркотиков в сети Интернет, а также ограничения свободного досту</w:t>
            </w:r>
            <w:r>
              <w:rPr>
                <w:sz w:val="22"/>
                <w:szCs w:val="22"/>
              </w:rPr>
              <w:t>па граждан к Интернет-ресурсам, содержащим противоправный контент в сфере незаконного оборота наркотиков, УМВД России по округу во взаимодействии с АУ «Югорский НИИ Информационных технологий» с привлечением молодежных ячеек «Кибердружин», созданных в автон</w:t>
            </w:r>
            <w:r>
              <w:rPr>
                <w:sz w:val="22"/>
                <w:szCs w:val="22"/>
              </w:rPr>
              <w:t>омном округе продолжена работа по мониторингу сети интернет с последующей блокировкой ресурсов пронаркотического содержания. В результате данного взаимодействия осуществлена проверка более семисот подозрительных ресурсов (740), заблокирован доступ к 11 рес</w:t>
            </w:r>
            <w:r>
              <w:rPr>
                <w:sz w:val="22"/>
                <w:szCs w:val="22"/>
              </w:rPr>
              <w:t>урсам, содержащим противоправный контент, связанный с незаконным оборотом наркотиков и пропагандой их употребления.</w:t>
            </w:r>
          </w:p>
        </w:tc>
      </w:tr>
      <w:tr w:rsidR="00DC1467">
        <w:tc>
          <w:tcPr>
            <w:tcW w:w="671" w:type="dxa"/>
          </w:tcPr>
          <w:p w:rsidR="00DC1467" w:rsidRDefault="00B70D3E">
            <w:pPr>
              <w:tabs>
                <w:tab w:val="left" w:pos="540"/>
              </w:tabs>
              <w:spacing w:line="238" w:lineRule="auto"/>
              <w:ind w:firstLine="0"/>
              <w:jc w:val="center"/>
              <w:rPr>
                <w:sz w:val="22"/>
                <w:szCs w:val="22"/>
              </w:rPr>
            </w:pPr>
            <w:r>
              <w:rPr>
                <w:sz w:val="22"/>
                <w:szCs w:val="22"/>
              </w:rPr>
              <w:t>2</w:t>
            </w:r>
          </w:p>
        </w:tc>
        <w:tc>
          <w:tcPr>
            <w:tcW w:w="2839" w:type="dxa"/>
          </w:tcPr>
          <w:p w:rsidR="00DC1467" w:rsidRDefault="00B70D3E">
            <w:pPr>
              <w:spacing w:line="238" w:lineRule="auto"/>
              <w:ind w:firstLine="0"/>
              <w:jc w:val="left"/>
              <w:rPr>
                <w:sz w:val="22"/>
                <w:szCs w:val="22"/>
              </w:rPr>
            </w:pPr>
            <w:r>
              <w:rPr>
                <w:rFonts w:eastAsia="Calibri"/>
                <w:sz w:val="22"/>
                <w:szCs w:val="22"/>
              </w:rPr>
              <w:t xml:space="preserve">Повышение уровня информированности населения </w:t>
            </w:r>
            <w:r>
              <w:rPr>
                <w:rFonts w:eastAsia="Calibri"/>
                <w:sz w:val="22"/>
                <w:szCs w:val="22"/>
              </w:rPr>
              <w:br/>
            </w:r>
            <w:r>
              <w:rPr>
                <w:rFonts w:eastAsia="Calibri"/>
                <w:sz w:val="22"/>
                <w:szCs w:val="22"/>
              </w:rPr>
              <w:t>о предусмотренной законодательством уголовной и административной ответственности за совершение преступлений и правонарушений, связанных с незаконным оборотом наркотиков</w:t>
            </w:r>
          </w:p>
        </w:tc>
        <w:tc>
          <w:tcPr>
            <w:tcW w:w="5919" w:type="dxa"/>
          </w:tcPr>
          <w:p w:rsidR="00DC1467" w:rsidRDefault="00B70D3E">
            <w:pPr>
              <w:spacing w:line="238" w:lineRule="auto"/>
              <w:ind w:firstLine="0"/>
              <w:rPr>
                <w:sz w:val="22"/>
                <w:szCs w:val="22"/>
              </w:rPr>
            </w:pPr>
            <w:r>
              <w:rPr>
                <w:sz w:val="22"/>
                <w:szCs w:val="22"/>
              </w:rPr>
              <w:t>Совместно с представителями субъектов профилактики организовано и проведено более 14 ты</w:t>
            </w:r>
            <w:r>
              <w:rPr>
                <w:sz w:val="22"/>
                <w:szCs w:val="22"/>
              </w:rPr>
              <w:t>сяч информационно-просветительских мероприятий для обучающихся образовательных учреждений Югры, направленных на повышение правовой грамотности в сфере контроля за оборотом наркотиков и формирование здорового образа жизни (кинолектории, беседы, брифинги, кр</w:t>
            </w:r>
            <w:r>
              <w:rPr>
                <w:sz w:val="22"/>
                <w:szCs w:val="22"/>
              </w:rPr>
              <w:t xml:space="preserve">углые столы). </w:t>
            </w:r>
          </w:p>
          <w:p w:rsidR="00DC1467" w:rsidRDefault="00B70D3E">
            <w:pPr>
              <w:spacing w:line="238" w:lineRule="auto"/>
              <w:ind w:firstLine="0"/>
              <w:rPr>
                <w:sz w:val="22"/>
                <w:szCs w:val="22"/>
              </w:rPr>
            </w:pPr>
            <w:r>
              <w:rPr>
                <w:sz w:val="22"/>
                <w:szCs w:val="22"/>
              </w:rPr>
              <w:t>В ходе кинолекториев, подросткам демонстрировались видеофильмы профилактического содержания, доводилась информация о пагубном воздействии наркотиков на организм человека, распространялись агитационные материалы антинаркотического содержания.</w:t>
            </w:r>
          </w:p>
          <w:p w:rsidR="00DC1467" w:rsidRDefault="00B70D3E">
            <w:pPr>
              <w:spacing w:line="238" w:lineRule="auto"/>
              <w:ind w:firstLine="0"/>
              <w:rPr>
                <w:rFonts w:eastAsia="Arial Unicode MS"/>
                <w:sz w:val="22"/>
                <w:szCs w:val="22"/>
              </w:rPr>
            </w:pPr>
            <w:r>
              <w:rPr>
                <w:sz w:val="22"/>
                <w:szCs w:val="22"/>
              </w:rPr>
              <w:t>В течение учебного года, в общеобразовательных учреждениях округа с участием сотрудников подразделений по делам несовершеннолетних, организовываются и проводятся традиционные конкурсы рисунков и конкурсы плакатов по профилактике употребления наркотиков, к</w:t>
            </w:r>
            <w:r>
              <w:rPr>
                <w:sz w:val="22"/>
                <w:szCs w:val="22"/>
              </w:rPr>
              <w:t>лассные часы и конференции на антинаркотическую тему, оформляются стенды по профилактике преступлений, правонарушений, наркомании и алкоголизации среди несовершеннолетних.</w:t>
            </w:r>
          </w:p>
          <w:p w:rsidR="00DC1467" w:rsidRDefault="00B70D3E">
            <w:pPr>
              <w:spacing w:line="238" w:lineRule="auto"/>
              <w:ind w:firstLine="0"/>
              <w:rPr>
                <w:sz w:val="22"/>
                <w:szCs w:val="22"/>
              </w:rPr>
            </w:pPr>
            <w:r>
              <w:rPr>
                <w:sz w:val="22"/>
                <w:szCs w:val="22"/>
              </w:rPr>
              <w:t>Продолжена разъяснительная работа с родителями обучающихся, направленная на профилак</w:t>
            </w:r>
            <w:r>
              <w:rPr>
                <w:sz w:val="22"/>
                <w:szCs w:val="22"/>
              </w:rPr>
              <w:t>тику наркомании и наркопреступности в подростковой и молодежной среде. С участием сотрудников полиции состоялось 1270 родительских собрания, в том числе на указанные темы более 802.</w:t>
            </w:r>
          </w:p>
          <w:p w:rsidR="00DC1467" w:rsidRDefault="00B70D3E">
            <w:pPr>
              <w:spacing w:line="238" w:lineRule="auto"/>
              <w:ind w:firstLine="0"/>
              <w:rPr>
                <w:sz w:val="22"/>
                <w:szCs w:val="22"/>
              </w:rPr>
            </w:pPr>
            <w:r>
              <w:rPr>
                <w:sz w:val="22"/>
                <w:szCs w:val="22"/>
              </w:rPr>
              <w:t>В период ученических каникул с участием сотрудников подразделений по контр</w:t>
            </w:r>
            <w:r>
              <w:rPr>
                <w:sz w:val="22"/>
                <w:szCs w:val="22"/>
              </w:rPr>
              <w:t>олю за оборотом наркотиков и ОДН УМВД по округу, во взаимодействии с Департаментом внутренней политики, Департаментом здравоохранения, Департаментом образования и молодежной политики, Департаментом физической культуры и спорта Ханты-Мансийского автономного</w:t>
            </w:r>
            <w:r>
              <w:rPr>
                <w:sz w:val="22"/>
                <w:szCs w:val="22"/>
              </w:rPr>
              <w:t xml:space="preserve"> округа – Югры и другими заинтересованными ведомствами проведено 431 профилактическое мероприятие, приуроченное к Международному дню борьбы с наркоманией и незаконным оборотом наркотиков.</w:t>
            </w:r>
          </w:p>
          <w:p w:rsidR="00DC1467" w:rsidRDefault="00B70D3E">
            <w:pPr>
              <w:spacing w:line="238" w:lineRule="auto"/>
              <w:ind w:firstLine="0"/>
              <w:rPr>
                <w:sz w:val="22"/>
                <w:szCs w:val="22"/>
              </w:rPr>
            </w:pPr>
            <w:r>
              <w:rPr>
                <w:sz w:val="22"/>
                <w:szCs w:val="22"/>
              </w:rPr>
              <w:t xml:space="preserve">В целях привлечения внимания общественности к проблеме наркомании и </w:t>
            </w:r>
            <w:r>
              <w:rPr>
                <w:sz w:val="22"/>
                <w:szCs w:val="22"/>
              </w:rPr>
              <w:t>формирования в обществе негативного отношения к незаконному потреблению наркотиков, в период с 10 января по 20 февраля 2024 года организовано проведение регионального этапа Всероссийского конкурса социальной рекламы антинаркотической направленности и пропа</w:t>
            </w:r>
            <w:r>
              <w:rPr>
                <w:sz w:val="22"/>
                <w:szCs w:val="22"/>
              </w:rPr>
              <w:t xml:space="preserve">ганды здорового образа жизни «Спасем жизнь вместе». </w:t>
            </w:r>
          </w:p>
          <w:p w:rsidR="00DC1467" w:rsidRDefault="00B70D3E">
            <w:pPr>
              <w:spacing w:line="238" w:lineRule="auto"/>
              <w:ind w:firstLine="0"/>
              <w:rPr>
                <w:sz w:val="22"/>
                <w:szCs w:val="22"/>
              </w:rPr>
            </w:pPr>
            <w:r>
              <w:rPr>
                <w:sz w:val="22"/>
                <w:szCs w:val="22"/>
              </w:rPr>
              <w:t>Для реализации мероприятий и акций профилактической направленности: Межведомственной оперативно-профилактической операции «Дети России», Общероссийской акции «Сообщи, где торгуют смертью», а также меропр</w:t>
            </w:r>
            <w:r>
              <w:rPr>
                <w:sz w:val="22"/>
                <w:szCs w:val="22"/>
              </w:rPr>
              <w:t>иятий приуроченных к Международному дню борьбы с наркоманией (26 июня) активно привлекаются организации волонтеров и добровольцев, участвующих в проектах, направленных на пропаганду здорового образа жизни, профилактику алкоголизма, наркомании и табакокурен</w:t>
            </w:r>
            <w:r>
              <w:rPr>
                <w:sz w:val="22"/>
                <w:szCs w:val="22"/>
              </w:rPr>
              <w:t>ия в подростковой и молодежной среде.</w:t>
            </w:r>
          </w:p>
          <w:p w:rsidR="00DC1467" w:rsidRDefault="00B70D3E">
            <w:pPr>
              <w:tabs>
                <w:tab w:val="left" w:pos="540"/>
              </w:tabs>
              <w:spacing w:line="238" w:lineRule="auto"/>
              <w:ind w:firstLine="0"/>
              <w:rPr>
                <w:sz w:val="22"/>
                <w:szCs w:val="22"/>
              </w:rPr>
            </w:pPr>
            <w:r>
              <w:rPr>
                <w:sz w:val="22"/>
                <w:szCs w:val="22"/>
              </w:rPr>
              <w:t>Кроме того, с представителями молодежных и волонтерских организаций автономного округа, субъектами профилактики наркомании проводятся различного рода семинары и круглые столы, на которых обмениваются мнениями по формам</w:t>
            </w:r>
            <w:r>
              <w:rPr>
                <w:sz w:val="22"/>
                <w:szCs w:val="22"/>
              </w:rPr>
              <w:t xml:space="preserve"> и методам профилактики наркомании и правонарушений несовершеннолетних.</w:t>
            </w:r>
          </w:p>
        </w:tc>
      </w:tr>
    </w:tbl>
    <w:p w:rsidR="00DC1467" w:rsidRDefault="00DC1467">
      <w:pPr>
        <w:widowControl w:val="0"/>
        <w:tabs>
          <w:tab w:val="left" w:pos="1671"/>
        </w:tabs>
        <w:spacing w:line="240" w:lineRule="auto"/>
        <w:jc w:val="center"/>
        <w:rPr>
          <w:highlight w:val="yellow"/>
          <w:lang w:bidi="ru-RU"/>
        </w:rPr>
      </w:pPr>
    </w:p>
    <w:p w:rsidR="00DC1467" w:rsidRDefault="00DC1467">
      <w:pPr>
        <w:widowControl w:val="0"/>
        <w:tabs>
          <w:tab w:val="left" w:pos="1671"/>
        </w:tabs>
        <w:spacing w:line="240" w:lineRule="auto"/>
        <w:jc w:val="right"/>
        <w:rPr>
          <w:lang w:bidi="ru-RU"/>
        </w:rPr>
      </w:pPr>
    </w:p>
    <w:p w:rsidR="00DC1467" w:rsidRDefault="00DC1467">
      <w:pPr>
        <w:widowControl w:val="0"/>
        <w:tabs>
          <w:tab w:val="left" w:pos="1671"/>
        </w:tabs>
        <w:spacing w:line="240" w:lineRule="auto"/>
        <w:jc w:val="right"/>
        <w:rPr>
          <w:lang w:bidi="ru-RU"/>
        </w:rPr>
      </w:pPr>
    </w:p>
    <w:p w:rsidR="00DC1467" w:rsidRDefault="00B70D3E">
      <w:pPr>
        <w:widowControl w:val="0"/>
        <w:tabs>
          <w:tab w:val="left" w:pos="1671"/>
        </w:tabs>
        <w:spacing w:line="240" w:lineRule="auto"/>
        <w:jc w:val="right"/>
        <w:rPr>
          <w:lang w:bidi="ru-RU"/>
        </w:rPr>
      </w:pPr>
      <w:r>
        <w:rPr>
          <w:lang w:bidi="ru-RU"/>
        </w:rPr>
        <w:t>Таблица 6</w:t>
      </w:r>
    </w:p>
    <w:p w:rsidR="00DC1467" w:rsidRDefault="00DC1467">
      <w:pPr>
        <w:widowControl w:val="0"/>
        <w:tabs>
          <w:tab w:val="left" w:pos="1671"/>
        </w:tabs>
        <w:spacing w:line="240" w:lineRule="auto"/>
        <w:jc w:val="right"/>
        <w:rPr>
          <w:lang w:bidi="ru-RU"/>
        </w:rPr>
      </w:pPr>
    </w:p>
    <w:p w:rsidR="00DC1467" w:rsidRDefault="00B70D3E">
      <w:pPr>
        <w:widowControl w:val="0"/>
        <w:tabs>
          <w:tab w:val="left" w:pos="1671"/>
        </w:tabs>
        <w:spacing w:line="240" w:lineRule="auto"/>
        <w:ind w:firstLine="0"/>
        <w:jc w:val="center"/>
        <w:rPr>
          <w:b/>
          <w:lang w:bidi="ru-RU"/>
        </w:rPr>
      </w:pPr>
      <w:r>
        <w:rPr>
          <w:b/>
          <w:lang w:bidi="ru-RU"/>
        </w:rPr>
        <w:t>Информация по достижению значений показателей в 2024 году</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0"/>
        <w:gridCol w:w="1701"/>
        <w:gridCol w:w="1560"/>
      </w:tblGrid>
      <w:tr w:rsidR="00DC1467">
        <w:trPr>
          <w:trHeight w:val="227"/>
        </w:trPr>
        <w:tc>
          <w:tcPr>
            <w:tcW w:w="567" w:type="dxa"/>
            <w:vAlign w:val="center"/>
          </w:tcPr>
          <w:p w:rsidR="00DC1467" w:rsidRDefault="00B70D3E">
            <w:pPr>
              <w:spacing w:line="240" w:lineRule="auto"/>
              <w:ind w:firstLine="0"/>
              <w:jc w:val="center"/>
              <w:rPr>
                <w:rFonts w:eastAsia="Calibri"/>
                <w:sz w:val="22"/>
                <w:szCs w:val="22"/>
              </w:rPr>
            </w:pPr>
            <w:r>
              <w:rPr>
                <w:rFonts w:eastAsia="Calibri"/>
                <w:sz w:val="22"/>
                <w:szCs w:val="22"/>
              </w:rPr>
              <w:t>№ п/п</w:t>
            </w:r>
          </w:p>
        </w:tc>
        <w:tc>
          <w:tcPr>
            <w:tcW w:w="5670" w:type="dxa"/>
            <w:vAlign w:val="center"/>
          </w:tcPr>
          <w:p w:rsidR="00DC1467" w:rsidRDefault="00B70D3E">
            <w:pPr>
              <w:spacing w:line="240" w:lineRule="auto"/>
              <w:ind w:firstLine="0"/>
              <w:jc w:val="center"/>
              <w:rPr>
                <w:rFonts w:eastAsia="Calibri"/>
                <w:sz w:val="22"/>
                <w:szCs w:val="22"/>
              </w:rPr>
            </w:pPr>
            <w:r>
              <w:rPr>
                <w:rFonts w:eastAsia="Calibri"/>
                <w:sz w:val="22"/>
                <w:szCs w:val="22"/>
              </w:rPr>
              <w:t xml:space="preserve">Наименование </w:t>
            </w:r>
          </w:p>
          <w:p w:rsidR="00DC1467" w:rsidRDefault="00B70D3E">
            <w:pPr>
              <w:spacing w:line="240" w:lineRule="auto"/>
              <w:ind w:firstLine="0"/>
              <w:jc w:val="center"/>
              <w:rPr>
                <w:rFonts w:eastAsia="Calibri"/>
                <w:sz w:val="22"/>
                <w:szCs w:val="22"/>
              </w:rPr>
            </w:pPr>
            <w:r>
              <w:rPr>
                <w:rFonts w:eastAsia="Calibri"/>
                <w:sz w:val="22"/>
                <w:szCs w:val="22"/>
              </w:rPr>
              <w:t>показателя</w:t>
            </w:r>
          </w:p>
        </w:tc>
        <w:tc>
          <w:tcPr>
            <w:tcW w:w="1701" w:type="dxa"/>
            <w:vAlign w:val="center"/>
          </w:tcPr>
          <w:p w:rsidR="00DC1467" w:rsidRDefault="00B70D3E">
            <w:pPr>
              <w:spacing w:line="240" w:lineRule="auto"/>
              <w:ind w:firstLine="0"/>
              <w:jc w:val="center"/>
              <w:rPr>
                <w:rFonts w:eastAsia="Calibri"/>
                <w:sz w:val="22"/>
                <w:szCs w:val="22"/>
              </w:rPr>
            </w:pPr>
            <w:r>
              <w:rPr>
                <w:rFonts w:eastAsia="Calibri"/>
                <w:sz w:val="22"/>
                <w:szCs w:val="22"/>
              </w:rPr>
              <w:t>Плановое значение на 2024 год</w:t>
            </w:r>
          </w:p>
        </w:tc>
        <w:tc>
          <w:tcPr>
            <w:tcW w:w="1560" w:type="dxa"/>
            <w:vAlign w:val="center"/>
          </w:tcPr>
          <w:p w:rsidR="00DC1467" w:rsidRDefault="00B70D3E">
            <w:pPr>
              <w:spacing w:line="240" w:lineRule="auto"/>
              <w:ind w:firstLine="0"/>
              <w:jc w:val="center"/>
              <w:rPr>
                <w:rFonts w:eastAsia="Calibri"/>
                <w:sz w:val="22"/>
                <w:szCs w:val="22"/>
              </w:rPr>
            </w:pPr>
            <w:r>
              <w:rPr>
                <w:rFonts w:eastAsia="Calibri"/>
                <w:sz w:val="22"/>
                <w:szCs w:val="22"/>
              </w:rPr>
              <w:t>Фактическое значение за 2024 год</w:t>
            </w:r>
          </w:p>
        </w:tc>
      </w:tr>
      <w:tr w:rsidR="00DC1467">
        <w:trPr>
          <w:trHeight w:val="227"/>
        </w:trPr>
        <w:tc>
          <w:tcPr>
            <w:tcW w:w="567" w:type="dxa"/>
            <w:vAlign w:val="center"/>
          </w:tcPr>
          <w:p w:rsidR="00DC1467" w:rsidRDefault="00B70D3E">
            <w:pPr>
              <w:spacing w:line="240" w:lineRule="auto"/>
              <w:ind w:firstLine="0"/>
              <w:jc w:val="center"/>
              <w:rPr>
                <w:rFonts w:eastAsia="Calibri"/>
                <w:sz w:val="22"/>
                <w:szCs w:val="22"/>
              </w:rPr>
            </w:pPr>
            <w:r>
              <w:rPr>
                <w:rFonts w:eastAsia="Calibri"/>
                <w:color w:val="000000"/>
                <w:sz w:val="22"/>
                <w:szCs w:val="22"/>
              </w:rPr>
              <w:t>1</w:t>
            </w:r>
          </w:p>
        </w:tc>
        <w:tc>
          <w:tcPr>
            <w:tcW w:w="5670" w:type="dxa"/>
            <w:vAlign w:val="center"/>
          </w:tcPr>
          <w:p w:rsidR="00DC1467" w:rsidRDefault="00B70D3E">
            <w:pPr>
              <w:spacing w:line="240" w:lineRule="auto"/>
              <w:ind w:firstLine="0"/>
              <w:jc w:val="left"/>
              <w:rPr>
                <w:rFonts w:eastAsia="Calibri"/>
                <w:sz w:val="22"/>
                <w:szCs w:val="22"/>
              </w:rPr>
            </w:pPr>
            <w:r>
              <w:rPr>
                <w:color w:val="000000"/>
                <w:sz w:val="22"/>
                <w:szCs w:val="22"/>
              </w:rPr>
              <w:t>Вовлеченность населения в незаконный оборот наркотиков (на 100 тыс. человек)</w:t>
            </w:r>
          </w:p>
        </w:tc>
        <w:tc>
          <w:tcPr>
            <w:tcW w:w="1701" w:type="dxa"/>
            <w:vAlign w:val="center"/>
          </w:tcPr>
          <w:p w:rsidR="00DC1467" w:rsidRDefault="00B70D3E">
            <w:pPr>
              <w:spacing w:line="240" w:lineRule="auto"/>
              <w:ind w:firstLine="0"/>
              <w:jc w:val="center"/>
              <w:rPr>
                <w:sz w:val="22"/>
                <w:szCs w:val="22"/>
              </w:rPr>
            </w:pPr>
            <w:r>
              <w:rPr>
                <w:color w:val="000000"/>
                <w:sz w:val="22"/>
                <w:szCs w:val="22"/>
              </w:rPr>
              <w:t>148</w:t>
            </w:r>
          </w:p>
        </w:tc>
        <w:tc>
          <w:tcPr>
            <w:tcW w:w="1560" w:type="dxa"/>
            <w:vAlign w:val="center"/>
          </w:tcPr>
          <w:p w:rsidR="00DC1467" w:rsidRDefault="00B70D3E">
            <w:pPr>
              <w:spacing w:line="240" w:lineRule="auto"/>
              <w:ind w:firstLine="0"/>
              <w:jc w:val="center"/>
              <w:rPr>
                <w:rFonts w:eastAsia="Calibri"/>
                <w:sz w:val="22"/>
                <w:szCs w:val="22"/>
              </w:rPr>
            </w:pPr>
            <w:r>
              <w:rPr>
                <w:rFonts w:eastAsia="Calibri"/>
                <w:color w:val="000000"/>
                <w:sz w:val="22"/>
                <w:szCs w:val="22"/>
              </w:rPr>
              <w:t>162,8</w:t>
            </w:r>
          </w:p>
        </w:tc>
      </w:tr>
      <w:tr w:rsidR="00DC1467">
        <w:trPr>
          <w:trHeight w:val="227"/>
        </w:trPr>
        <w:tc>
          <w:tcPr>
            <w:tcW w:w="567" w:type="dxa"/>
            <w:vAlign w:val="center"/>
          </w:tcPr>
          <w:p w:rsidR="00DC1467" w:rsidRDefault="00B70D3E">
            <w:pPr>
              <w:spacing w:line="240" w:lineRule="auto"/>
              <w:ind w:firstLine="0"/>
              <w:jc w:val="center"/>
              <w:rPr>
                <w:rFonts w:eastAsia="Calibri"/>
                <w:sz w:val="22"/>
                <w:szCs w:val="22"/>
              </w:rPr>
            </w:pPr>
            <w:r>
              <w:rPr>
                <w:rFonts w:eastAsia="Calibri"/>
                <w:color w:val="000000"/>
                <w:sz w:val="22"/>
                <w:szCs w:val="22"/>
              </w:rPr>
              <w:t>2</w:t>
            </w:r>
          </w:p>
        </w:tc>
        <w:tc>
          <w:tcPr>
            <w:tcW w:w="5670" w:type="dxa"/>
            <w:vAlign w:val="center"/>
          </w:tcPr>
          <w:p w:rsidR="00DC1467" w:rsidRDefault="00B70D3E">
            <w:pPr>
              <w:spacing w:line="240" w:lineRule="auto"/>
              <w:ind w:firstLine="0"/>
              <w:jc w:val="left"/>
              <w:rPr>
                <w:rFonts w:eastAsia="Calibri"/>
                <w:sz w:val="22"/>
                <w:szCs w:val="22"/>
              </w:rPr>
            </w:pPr>
            <w:r>
              <w:rPr>
                <w:color w:val="000000"/>
                <w:sz w:val="22"/>
                <w:szCs w:val="22"/>
              </w:rPr>
              <w:t>Криминогенность наркомании (на 100 тыс. человек)</w:t>
            </w:r>
          </w:p>
        </w:tc>
        <w:tc>
          <w:tcPr>
            <w:tcW w:w="1701" w:type="dxa"/>
            <w:vAlign w:val="center"/>
          </w:tcPr>
          <w:p w:rsidR="00DC1467" w:rsidRDefault="00B70D3E">
            <w:pPr>
              <w:spacing w:line="240" w:lineRule="auto"/>
              <w:ind w:firstLine="0"/>
              <w:jc w:val="center"/>
              <w:rPr>
                <w:sz w:val="22"/>
                <w:szCs w:val="22"/>
              </w:rPr>
            </w:pPr>
            <w:r>
              <w:rPr>
                <w:color w:val="000000"/>
                <w:sz w:val="22"/>
                <w:szCs w:val="22"/>
              </w:rPr>
              <w:t>139</w:t>
            </w:r>
          </w:p>
        </w:tc>
        <w:tc>
          <w:tcPr>
            <w:tcW w:w="1560" w:type="dxa"/>
            <w:vAlign w:val="center"/>
          </w:tcPr>
          <w:p w:rsidR="00DC1467" w:rsidRDefault="00B70D3E">
            <w:pPr>
              <w:spacing w:line="240" w:lineRule="auto"/>
              <w:ind w:firstLine="0"/>
              <w:jc w:val="center"/>
              <w:rPr>
                <w:rFonts w:eastAsia="Calibri"/>
                <w:sz w:val="22"/>
                <w:szCs w:val="22"/>
              </w:rPr>
            </w:pPr>
            <w:r>
              <w:rPr>
                <w:rFonts w:eastAsia="Calibri"/>
                <w:color w:val="000000"/>
                <w:sz w:val="22"/>
                <w:szCs w:val="22"/>
              </w:rPr>
              <w:t>126,7</w:t>
            </w:r>
          </w:p>
        </w:tc>
      </w:tr>
      <w:tr w:rsidR="00DC1467">
        <w:trPr>
          <w:trHeight w:val="227"/>
        </w:trPr>
        <w:tc>
          <w:tcPr>
            <w:tcW w:w="567" w:type="dxa"/>
            <w:vAlign w:val="center"/>
          </w:tcPr>
          <w:p w:rsidR="00DC1467" w:rsidRDefault="00B70D3E">
            <w:pPr>
              <w:spacing w:line="240" w:lineRule="auto"/>
              <w:ind w:firstLine="0"/>
              <w:jc w:val="center"/>
              <w:rPr>
                <w:rFonts w:eastAsia="Calibri"/>
                <w:sz w:val="22"/>
                <w:szCs w:val="22"/>
              </w:rPr>
            </w:pPr>
            <w:r>
              <w:rPr>
                <w:rFonts w:eastAsia="Calibri"/>
                <w:color w:val="000000"/>
                <w:sz w:val="22"/>
                <w:szCs w:val="22"/>
              </w:rPr>
              <w:t>3</w:t>
            </w:r>
          </w:p>
        </w:tc>
        <w:tc>
          <w:tcPr>
            <w:tcW w:w="5670" w:type="dxa"/>
            <w:vAlign w:val="center"/>
          </w:tcPr>
          <w:p w:rsidR="00DC1467" w:rsidRDefault="00B70D3E">
            <w:pPr>
              <w:spacing w:line="240" w:lineRule="auto"/>
              <w:ind w:firstLine="0"/>
              <w:jc w:val="left"/>
              <w:rPr>
                <w:rFonts w:eastAsia="Calibri"/>
                <w:sz w:val="22"/>
                <w:szCs w:val="22"/>
              </w:rPr>
            </w:pPr>
            <w:r>
              <w:rPr>
                <w:color w:val="000000"/>
                <w:sz w:val="22"/>
                <w:szCs w:val="22"/>
              </w:rPr>
              <w:t>Количество случаев острых отравлений наркотиками (на 100 тыс. человек)</w:t>
            </w:r>
          </w:p>
        </w:tc>
        <w:tc>
          <w:tcPr>
            <w:tcW w:w="1701" w:type="dxa"/>
            <w:vAlign w:val="center"/>
          </w:tcPr>
          <w:p w:rsidR="00DC1467" w:rsidRDefault="00B70D3E">
            <w:pPr>
              <w:spacing w:line="240" w:lineRule="auto"/>
              <w:ind w:firstLine="0"/>
              <w:jc w:val="center"/>
              <w:rPr>
                <w:sz w:val="22"/>
                <w:szCs w:val="22"/>
              </w:rPr>
            </w:pPr>
            <w:r>
              <w:rPr>
                <w:color w:val="000000"/>
                <w:sz w:val="22"/>
                <w:szCs w:val="22"/>
              </w:rPr>
              <w:t>5,6</w:t>
            </w:r>
          </w:p>
        </w:tc>
        <w:tc>
          <w:tcPr>
            <w:tcW w:w="1560" w:type="dxa"/>
            <w:vAlign w:val="center"/>
          </w:tcPr>
          <w:p w:rsidR="00DC1467" w:rsidRDefault="00B70D3E">
            <w:pPr>
              <w:spacing w:line="240" w:lineRule="auto"/>
              <w:ind w:firstLine="0"/>
              <w:jc w:val="center"/>
              <w:rPr>
                <w:rFonts w:eastAsia="Calibri"/>
                <w:sz w:val="22"/>
                <w:szCs w:val="22"/>
              </w:rPr>
            </w:pPr>
            <w:r>
              <w:rPr>
                <w:rFonts w:eastAsia="Calibri"/>
                <w:color w:val="000000"/>
                <w:sz w:val="22"/>
                <w:szCs w:val="22"/>
              </w:rPr>
              <w:t>6,1</w:t>
            </w:r>
          </w:p>
        </w:tc>
      </w:tr>
      <w:tr w:rsidR="00DC1467">
        <w:trPr>
          <w:trHeight w:val="227"/>
        </w:trPr>
        <w:tc>
          <w:tcPr>
            <w:tcW w:w="567" w:type="dxa"/>
            <w:vAlign w:val="center"/>
          </w:tcPr>
          <w:p w:rsidR="00DC1467" w:rsidRDefault="00B70D3E">
            <w:pPr>
              <w:spacing w:line="240" w:lineRule="auto"/>
              <w:ind w:firstLine="0"/>
              <w:jc w:val="center"/>
              <w:rPr>
                <w:rFonts w:eastAsia="Calibri"/>
                <w:sz w:val="22"/>
                <w:szCs w:val="22"/>
              </w:rPr>
            </w:pPr>
            <w:r>
              <w:rPr>
                <w:rFonts w:eastAsia="Calibri"/>
                <w:color w:val="000000"/>
                <w:sz w:val="22"/>
                <w:szCs w:val="22"/>
              </w:rPr>
              <w:t>4</w:t>
            </w:r>
          </w:p>
        </w:tc>
        <w:tc>
          <w:tcPr>
            <w:tcW w:w="5670" w:type="dxa"/>
            <w:vAlign w:val="center"/>
          </w:tcPr>
          <w:p w:rsidR="00DC1467" w:rsidRDefault="00B70D3E">
            <w:pPr>
              <w:spacing w:line="240" w:lineRule="auto"/>
              <w:ind w:firstLine="0"/>
              <w:jc w:val="left"/>
              <w:rPr>
                <w:rFonts w:eastAsia="Calibri"/>
                <w:sz w:val="22"/>
                <w:szCs w:val="22"/>
              </w:rPr>
            </w:pPr>
            <w:r>
              <w:rPr>
                <w:color w:val="000000"/>
                <w:sz w:val="22"/>
                <w:szCs w:val="22"/>
              </w:rPr>
              <w:t>Количество случаев острых отравлений наркотиками среди несовершеннолетних (на 100 тыс. несовершеннолетних)</w:t>
            </w:r>
          </w:p>
        </w:tc>
        <w:tc>
          <w:tcPr>
            <w:tcW w:w="1701" w:type="dxa"/>
            <w:vAlign w:val="center"/>
          </w:tcPr>
          <w:p w:rsidR="00DC1467" w:rsidRDefault="00B70D3E">
            <w:pPr>
              <w:spacing w:line="240" w:lineRule="auto"/>
              <w:ind w:firstLine="0"/>
              <w:jc w:val="center"/>
              <w:rPr>
                <w:sz w:val="22"/>
                <w:szCs w:val="22"/>
              </w:rPr>
            </w:pPr>
            <w:r>
              <w:rPr>
                <w:color w:val="000000"/>
                <w:sz w:val="22"/>
                <w:szCs w:val="22"/>
              </w:rPr>
              <w:t>0,9</w:t>
            </w:r>
          </w:p>
        </w:tc>
        <w:tc>
          <w:tcPr>
            <w:tcW w:w="1560" w:type="dxa"/>
            <w:vAlign w:val="center"/>
          </w:tcPr>
          <w:p w:rsidR="00DC1467" w:rsidRDefault="00B70D3E">
            <w:pPr>
              <w:spacing w:line="240" w:lineRule="auto"/>
              <w:ind w:firstLine="0"/>
              <w:jc w:val="center"/>
              <w:rPr>
                <w:rFonts w:eastAsia="Calibri"/>
                <w:sz w:val="22"/>
                <w:szCs w:val="22"/>
              </w:rPr>
            </w:pPr>
            <w:r>
              <w:rPr>
                <w:rFonts w:eastAsia="Calibri"/>
                <w:color w:val="000000"/>
                <w:sz w:val="22"/>
                <w:szCs w:val="22"/>
              </w:rPr>
              <w:t>0,7</w:t>
            </w:r>
          </w:p>
        </w:tc>
      </w:tr>
      <w:tr w:rsidR="00DC1467">
        <w:trPr>
          <w:trHeight w:val="227"/>
        </w:trPr>
        <w:tc>
          <w:tcPr>
            <w:tcW w:w="567" w:type="dxa"/>
            <w:vAlign w:val="center"/>
          </w:tcPr>
          <w:p w:rsidR="00DC1467" w:rsidRDefault="00B70D3E">
            <w:pPr>
              <w:spacing w:line="240" w:lineRule="auto"/>
              <w:ind w:firstLine="0"/>
              <w:jc w:val="center"/>
              <w:rPr>
                <w:rFonts w:eastAsia="Calibri"/>
                <w:sz w:val="22"/>
                <w:szCs w:val="22"/>
              </w:rPr>
            </w:pPr>
            <w:r>
              <w:rPr>
                <w:rFonts w:eastAsia="Calibri"/>
                <w:color w:val="000000"/>
                <w:sz w:val="22"/>
                <w:szCs w:val="22"/>
              </w:rPr>
              <w:t>5</w:t>
            </w:r>
          </w:p>
        </w:tc>
        <w:tc>
          <w:tcPr>
            <w:tcW w:w="5670" w:type="dxa"/>
            <w:vAlign w:val="center"/>
          </w:tcPr>
          <w:p w:rsidR="00DC1467" w:rsidRDefault="00B70D3E">
            <w:pPr>
              <w:spacing w:line="240" w:lineRule="auto"/>
              <w:ind w:firstLine="0"/>
              <w:jc w:val="left"/>
              <w:rPr>
                <w:rFonts w:eastAsia="Calibri"/>
                <w:sz w:val="22"/>
                <w:szCs w:val="22"/>
              </w:rPr>
            </w:pPr>
            <w:r>
              <w:rPr>
                <w:color w:val="000000"/>
                <w:sz w:val="22"/>
                <w:szCs w:val="22"/>
              </w:rPr>
              <w:t>Количество случаев смерти в результате острых отравлений наркотиками (на 100 тыс. человек)</w:t>
            </w:r>
          </w:p>
        </w:tc>
        <w:tc>
          <w:tcPr>
            <w:tcW w:w="1701" w:type="dxa"/>
            <w:vAlign w:val="center"/>
          </w:tcPr>
          <w:p w:rsidR="00DC1467" w:rsidRDefault="00B70D3E">
            <w:pPr>
              <w:spacing w:line="240" w:lineRule="auto"/>
              <w:ind w:firstLine="0"/>
              <w:jc w:val="center"/>
              <w:rPr>
                <w:sz w:val="22"/>
                <w:szCs w:val="22"/>
              </w:rPr>
            </w:pPr>
            <w:r>
              <w:rPr>
                <w:color w:val="000000"/>
                <w:sz w:val="22"/>
                <w:szCs w:val="22"/>
              </w:rPr>
              <w:t>4,5</w:t>
            </w:r>
          </w:p>
        </w:tc>
        <w:tc>
          <w:tcPr>
            <w:tcW w:w="1560" w:type="dxa"/>
            <w:vAlign w:val="center"/>
          </w:tcPr>
          <w:p w:rsidR="00DC1467" w:rsidRDefault="00B70D3E">
            <w:pPr>
              <w:spacing w:line="240" w:lineRule="auto"/>
              <w:ind w:firstLine="0"/>
              <w:jc w:val="center"/>
              <w:rPr>
                <w:rFonts w:eastAsia="Calibri"/>
                <w:sz w:val="22"/>
                <w:szCs w:val="22"/>
              </w:rPr>
            </w:pPr>
            <w:r>
              <w:rPr>
                <w:rFonts w:eastAsia="Calibri"/>
                <w:color w:val="000000"/>
                <w:sz w:val="22"/>
                <w:szCs w:val="22"/>
              </w:rPr>
              <w:t>3,3</w:t>
            </w:r>
          </w:p>
        </w:tc>
      </w:tr>
      <w:tr w:rsidR="00DC1467">
        <w:trPr>
          <w:trHeight w:val="227"/>
        </w:trPr>
        <w:tc>
          <w:tcPr>
            <w:tcW w:w="567" w:type="dxa"/>
            <w:vAlign w:val="center"/>
          </w:tcPr>
          <w:p w:rsidR="00DC1467" w:rsidRDefault="00B70D3E">
            <w:pPr>
              <w:spacing w:line="240" w:lineRule="auto"/>
              <w:ind w:firstLine="0"/>
              <w:jc w:val="center"/>
              <w:rPr>
                <w:rFonts w:eastAsia="Calibri"/>
                <w:sz w:val="22"/>
                <w:szCs w:val="22"/>
              </w:rPr>
            </w:pPr>
            <w:r>
              <w:rPr>
                <w:rFonts w:eastAsia="Calibri"/>
                <w:color w:val="000000"/>
                <w:sz w:val="22"/>
                <w:szCs w:val="22"/>
              </w:rPr>
              <w:t>6</w:t>
            </w:r>
          </w:p>
        </w:tc>
        <w:tc>
          <w:tcPr>
            <w:tcW w:w="5670" w:type="dxa"/>
            <w:vAlign w:val="center"/>
          </w:tcPr>
          <w:p w:rsidR="00DC1467" w:rsidRDefault="00B70D3E">
            <w:pPr>
              <w:spacing w:line="240" w:lineRule="auto"/>
              <w:ind w:firstLine="0"/>
              <w:jc w:val="left"/>
              <w:rPr>
                <w:rFonts w:eastAsia="Calibri"/>
                <w:b/>
                <w:sz w:val="22"/>
                <w:szCs w:val="22"/>
              </w:rPr>
            </w:pPr>
            <w:r>
              <w:rPr>
                <w:b/>
                <w:bCs/>
                <w:color w:val="000000"/>
                <w:sz w:val="22"/>
                <w:szCs w:val="22"/>
              </w:rPr>
              <w:t>Общая оценка наркоситуации</w:t>
            </w:r>
          </w:p>
        </w:tc>
        <w:tc>
          <w:tcPr>
            <w:tcW w:w="1701" w:type="dxa"/>
            <w:vAlign w:val="center"/>
          </w:tcPr>
          <w:p w:rsidR="00DC1467" w:rsidRDefault="00B70D3E">
            <w:pPr>
              <w:spacing w:line="240" w:lineRule="auto"/>
              <w:ind w:firstLine="0"/>
              <w:jc w:val="center"/>
              <w:rPr>
                <w:rFonts w:eastAsia="Calibri"/>
                <w:b/>
                <w:sz w:val="22"/>
                <w:szCs w:val="22"/>
              </w:rPr>
            </w:pPr>
            <w:r>
              <w:rPr>
                <w:b/>
                <w:bCs/>
                <w:color w:val="000000"/>
                <w:sz w:val="22"/>
                <w:szCs w:val="22"/>
              </w:rPr>
              <w:t>Сложная</w:t>
            </w:r>
          </w:p>
        </w:tc>
        <w:tc>
          <w:tcPr>
            <w:tcW w:w="1560" w:type="dxa"/>
            <w:vAlign w:val="center"/>
          </w:tcPr>
          <w:p w:rsidR="00DC1467" w:rsidRDefault="00B70D3E">
            <w:pPr>
              <w:spacing w:line="240" w:lineRule="auto"/>
              <w:ind w:firstLine="0"/>
              <w:jc w:val="center"/>
              <w:rPr>
                <w:rFonts w:eastAsia="Calibri"/>
                <w:b/>
                <w:sz w:val="22"/>
                <w:szCs w:val="22"/>
              </w:rPr>
            </w:pPr>
            <w:r>
              <w:rPr>
                <w:rFonts w:eastAsia="Calibri"/>
                <w:b/>
                <w:bCs/>
                <w:color w:val="000000"/>
                <w:sz w:val="22"/>
                <w:szCs w:val="22"/>
              </w:rPr>
              <w:t>Н</w:t>
            </w:r>
            <w:r>
              <w:rPr>
                <w:rFonts w:eastAsia="Calibri"/>
                <w:b/>
                <w:bCs/>
                <w:color w:val="000000"/>
                <w:sz w:val="22"/>
                <w:szCs w:val="22"/>
              </w:rPr>
              <w:t>ейтральная</w:t>
            </w:r>
          </w:p>
        </w:tc>
      </w:tr>
    </w:tbl>
    <w:p w:rsidR="00DC1467" w:rsidRDefault="00DC1467">
      <w:pPr>
        <w:spacing w:line="240" w:lineRule="auto"/>
        <w:rPr>
          <w:bCs/>
        </w:rPr>
      </w:pPr>
    </w:p>
    <w:p w:rsidR="00DC1467" w:rsidRDefault="00DC1467">
      <w:pPr>
        <w:spacing w:line="276" w:lineRule="auto"/>
        <w:ind w:firstLine="709"/>
      </w:pPr>
    </w:p>
    <w:p w:rsidR="00DC1467" w:rsidRDefault="00DC1467">
      <w:pPr>
        <w:spacing w:line="240" w:lineRule="auto"/>
        <w:ind w:firstLine="709"/>
        <w:rPr>
          <w:szCs w:val="20"/>
        </w:rPr>
      </w:pPr>
    </w:p>
    <w:p w:rsidR="00DC1467" w:rsidRDefault="00DC1467">
      <w:pPr>
        <w:spacing w:line="276" w:lineRule="auto"/>
        <w:ind w:firstLine="709"/>
        <w:outlineLvl w:val="1"/>
        <w:rPr>
          <w:b/>
        </w:rPr>
        <w:sectPr w:rsidR="00DC1467">
          <w:pgSz w:w="11906" w:h="16838"/>
          <w:pgMar w:top="1134" w:right="851" w:bottom="1134" w:left="1701" w:header="709" w:footer="709" w:gutter="0"/>
          <w:cols w:space="708"/>
          <w:docGrid w:linePitch="360"/>
        </w:sectPr>
      </w:pPr>
    </w:p>
    <w:p w:rsidR="00DC1467" w:rsidRDefault="00B70D3E">
      <w:pPr>
        <w:spacing w:line="276" w:lineRule="auto"/>
        <w:ind w:firstLine="709"/>
        <w:outlineLvl w:val="1"/>
        <w:rPr>
          <w:b/>
        </w:rPr>
      </w:pPr>
      <w:r>
        <w:rPr>
          <w:b/>
        </w:rPr>
        <w:t>8. Предварительная оценка состояния наркоситуации в автономном округе в соответствии с Критериями оценки развития наркоситуации в автономном округе (в разрезе муниципальных образований)</w:t>
      </w:r>
    </w:p>
    <w:p w:rsidR="00DC1467" w:rsidRDefault="00DC1467">
      <w:pPr>
        <w:spacing w:line="276" w:lineRule="auto"/>
        <w:ind w:firstLine="709"/>
      </w:pPr>
    </w:p>
    <w:p w:rsidR="00DC1467" w:rsidRDefault="00B70D3E">
      <w:pPr>
        <w:spacing w:line="276" w:lineRule="auto"/>
        <w:ind w:firstLine="709"/>
        <w:rPr>
          <w:b/>
        </w:rPr>
      </w:pPr>
      <w:r>
        <w:t xml:space="preserve">Порядок определения критериев оценки развития наркоситуации закреплен </w:t>
      </w:r>
      <w:r>
        <w:rPr>
          <w:rFonts w:eastAsia="Calibri"/>
          <w:color w:val="000000"/>
        </w:rPr>
        <w:t>Методикой и порядком осуществления мониторинга, а также критериями оценки развития наркоситуации в Российской Федерации и ее субъектах, утвержденной подпунктом 4.3 решения Государственно</w:t>
      </w:r>
      <w:r>
        <w:rPr>
          <w:rFonts w:eastAsia="Calibri"/>
          <w:color w:val="000000"/>
        </w:rPr>
        <w:t>го антинаркотического комитета (протокол от 25.06.2021 № 48, с изменениями и дополнениями от 26.12.2022 (протокол № 51).</w:t>
      </w:r>
    </w:p>
    <w:p w:rsidR="00DC1467" w:rsidRDefault="00B70D3E">
      <w:pPr>
        <w:spacing w:line="276" w:lineRule="auto"/>
        <w:ind w:firstLine="709"/>
      </w:pPr>
      <w:r>
        <w:t xml:space="preserve">Оценка развития наркоситуации в субъекте Российской Федерации </w:t>
      </w:r>
      <w:r>
        <w:br/>
      </w:r>
      <w:r>
        <w:t>(по муниципальным образованиям и на региональном уровне) осуществляется по четырем последовательным критериям: «нейтральная» → «напряженная» → «предкризисная» → «кризисная».</w:t>
      </w:r>
    </w:p>
    <w:p w:rsidR="00DC1467" w:rsidRDefault="00B70D3E">
      <w:pPr>
        <w:spacing w:line="276" w:lineRule="auto"/>
        <w:ind w:firstLine="709"/>
      </w:pPr>
      <w:r>
        <w:t xml:space="preserve">Критерии оценки развития наркоситуации при проведении мониторинга определяются на </w:t>
      </w:r>
      <w:r>
        <w:t>региональном уровне по следующим оценочным показателям (ОП) наркоситуации:</w:t>
      </w:r>
    </w:p>
    <w:p w:rsidR="00DC1467" w:rsidRDefault="00B70D3E">
      <w:pPr>
        <w:spacing w:line="276" w:lineRule="auto"/>
        <w:ind w:firstLine="709"/>
        <w:rPr>
          <w:bCs/>
        </w:rPr>
      </w:pPr>
      <w:r>
        <w:t>ОП1. В</w:t>
      </w:r>
      <w:r>
        <w:rPr>
          <w:bCs/>
        </w:rPr>
        <w:t>овлеченность населения в незаконный оборот наркотиков;</w:t>
      </w:r>
    </w:p>
    <w:p w:rsidR="00DC1467" w:rsidRDefault="00B70D3E">
      <w:pPr>
        <w:spacing w:line="276" w:lineRule="auto"/>
        <w:ind w:firstLine="709"/>
        <w:rPr>
          <w:bCs/>
        </w:rPr>
      </w:pPr>
      <w:r>
        <w:rPr>
          <w:bCs/>
        </w:rPr>
        <w:t>ОП2. Уровень вовлеченности несовершеннолетних в незаконный оборот наркотиков;</w:t>
      </w:r>
    </w:p>
    <w:p w:rsidR="00DC1467" w:rsidRDefault="00B70D3E">
      <w:pPr>
        <w:spacing w:line="276" w:lineRule="auto"/>
        <w:ind w:firstLine="709"/>
        <w:rPr>
          <w:bCs/>
        </w:rPr>
      </w:pPr>
      <w:r>
        <w:rPr>
          <w:bCs/>
        </w:rPr>
        <w:t>ОП3. Криминогенность наркомании;</w:t>
      </w:r>
    </w:p>
    <w:p w:rsidR="00DC1467" w:rsidRDefault="00B70D3E">
      <w:pPr>
        <w:spacing w:line="276" w:lineRule="auto"/>
        <w:ind w:firstLine="709"/>
        <w:rPr>
          <w:bCs/>
        </w:rPr>
      </w:pPr>
      <w:r>
        <w:rPr>
          <w:bCs/>
        </w:rPr>
        <w:t>ОП4. Уров</w:t>
      </w:r>
      <w:r>
        <w:rPr>
          <w:bCs/>
        </w:rPr>
        <w:t>ень криминогенности наркомании среди несовершеннолетних;</w:t>
      </w:r>
    </w:p>
    <w:p w:rsidR="00DC1467" w:rsidRDefault="00B70D3E">
      <w:pPr>
        <w:spacing w:line="276" w:lineRule="auto"/>
        <w:ind w:firstLine="709"/>
        <w:rPr>
          <w:bCs/>
        </w:rPr>
      </w:pPr>
      <w:r>
        <w:rPr>
          <w:bCs/>
        </w:rPr>
        <w:t xml:space="preserve">ОП5. Доступность наркотиков </w:t>
      </w:r>
      <w:r>
        <w:rPr>
          <w:bCs/>
          <w:i/>
        </w:rPr>
        <w:t>(рассчитывается только на федеральном уровне);</w:t>
      </w:r>
    </w:p>
    <w:p w:rsidR="00DC1467" w:rsidRDefault="00B70D3E">
      <w:pPr>
        <w:spacing w:line="276" w:lineRule="auto"/>
        <w:ind w:firstLine="709"/>
        <w:rPr>
          <w:bCs/>
        </w:rPr>
      </w:pPr>
      <w:r>
        <w:rPr>
          <w:bCs/>
        </w:rPr>
        <w:t>ОП6. О</w:t>
      </w:r>
      <w:r>
        <w:t xml:space="preserve">ценочная распространенность употребления наркотиков </w:t>
      </w:r>
      <w:r>
        <w:rPr>
          <w:bCs/>
          <w:i/>
        </w:rPr>
        <w:t>(рассчитывается только на федеральном уровне)</w:t>
      </w:r>
      <w:r>
        <w:t>;</w:t>
      </w:r>
    </w:p>
    <w:p w:rsidR="00DC1467" w:rsidRDefault="00B70D3E">
      <w:pPr>
        <w:spacing w:line="276" w:lineRule="auto"/>
        <w:ind w:firstLine="709"/>
        <w:rPr>
          <w:bCs/>
        </w:rPr>
      </w:pPr>
      <w:r>
        <w:rPr>
          <w:bCs/>
        </w:rPr>
        <w:t>ОП7. У</w:t>
      </w:r>
      <w:r>
        <w:t>ровень первич</w:t>
      </w:r>
      <w:r>
        <w:t>ной заболеваемости наркоманией;</w:t>
      </w:r>
    </w:p>
    <w:p w:rsidR="00DC1467" w:rsidRDefault="00B70D3E">
      <w:pPr>
        <w:spacing w:line="276" w:lineRule="auto"/>
        <w:ind w:firstLine="709"/>
        <w:rPr>
          <w:bCs/>
        </w:rPr>
      </w:pPr>
      <w:r>
        <w:rPr>
          <w:bCs/>
        </w:rPr>
        <w:t>ОП8. О</w:t>
      </w:r>
      <w:r>
        <w:t>стрые отравления наркотиками;</w:t>
      </w:r>
    </w:p>
    <w:p w:rsidR="00DC1467" w:rsidRDefault="00B70D3E">
      <w:pPr>
        <w:spacing w:line="276" w:lineRule="auto"/>
        <w:ind w:firstLine="709"/>
        <w:rPr>
          <w:bCs/>
        </w:rPr>
      </w:pPr>
      <w:r>
        <w:rPr>
          <w:bCs/>
        </w:rPr>
        <w:t>ОП9. О</w:t>
      </w:r>
      <w:r>
        <w:t>стрые отравления наркотиками среди несовершеннолетних;</w:t>
      </w:r>
    </w:p>
    <w:p w:rsidR="00DC1467" w:rsidRDefault="00B70D3E">
      <w:pPr>
        <w:spacing w:line="276" w:lineRule="auto"/>
        <w:ind w:firstLine="709"/>
      </w:pPr>
      <w:r>
        <w:rPr>
          <w:bCs/>
        </w:rPr>
        <w:t>ОП10. С</w:t>
      </w:r>
      <w:r>
        <w:t>мертность, связанная с острым отравлением наркотиками.</w:t>
      </w:r>
    </w:p>
    <w:p w:rsidR="00DC1467" w:rsidRDefault="00B70D3E">
      <w:pPr>
        <w:spacing w:line="276" w:lineRule="auto"/>
        <w:ind w:firstLine="709"/>
      </w:pPr>
      <w:r>
        <w:t>Оценочный показатель определяется на основании расчета статистиче</w:t>
      </w:r>
      <w:r>
        <w:t>ского показателя (СП) с учетом его минимального и максимального значений по всем муниципальным образованиям (региональный уровень). Оценочный показатель выражается в баллах от 0 до 100. При этом 0 (ноль) баллов – наилучшее значение, 100 (сто) баллов – наих</w:t>
      </w:r>
      <w:r>
        <w:t xml:space="preserve">удшее значение соответствующего показателя. На региональном уровне оценочный показатель в субъекте Российской Федерации определяется как среднеарифметическое </w:t>
      </w:r>
      <w:bookmarkStart w:id="7" w:name="P183"/>
      <w:bookmarkEnd w:id="7"/>
      <w:r>
        <w:t>значение оценочных показателей муниципальных образований.</w:t>
      </w:r>
    </w:p>
    <w:p w:rsidR="00DC1467" w:rsidRDefault="00B70D3E">
      <w:pPr>
        <w:spacing w:line="276" w:lineRule="auto"/>
        <w:ind w:firstLine="709"/>
      </w:pPr>
      <w:r>
        <w:t>Статистический показатель – относительны</w:t>
      </w:r>
      <w:r>
        <w:t>й показатель, рассчитываемый на основе статистических данных и характеризующий количественные и качественные результаты деятельности по соответствующему направлению.</w:t>
      </w:r>
    </w:p>
    <w:p w:rsidR="00DC1467" w:rsidRDefault="00B70D3E">
      <w:pPr>
        <w:spacing w:line="276" w:lineRule="auto"/>
        <w:ind w:firstLine="709"/>
        <w:rPr>
          <w:rFonts w:eastAsia="Calibri"/>
          <w:color w:val="000000"/>
        </w:rPr>
      </w:pPr>
      <w:r>
        <w:t xml:space="preserve">В таблицах 7-8 и на рис. 16-24 представлены оценочные показатели наркоситуации в </w:t>
      </w:r>
      <w:r>
        <w:rPr>
          <w:rFonts w:eastAsia="Calibri"/>
          <w:color w:val="000000"/>
        </w:rPr>
        <w:t>Ханты-Ман</w:t>
      </w:r>
      <w:r>
        <w:rPr>
          <w:rFonts w:eastAsia="Calibri"/>
          <w:color w:val="000000"/>
        </w:rPr>
        <w:t>сийском автономном округе – Югре в разрезе муниципальных образований региона.</w:t>
      </w:r>
    </w:p>
    <w:p w:rsidR="00DC1467" w:rsidRDefault="00DC1467">
      <w:pPr>
        <w:spacing w:line="276" w:lineRule="auto"/>
        <w:ind w:firstLine="0"/>
        <w:jc w:val="right"/>
        <w:sectPr w:rsidR="00DC1467">
          <w:pgSz w:w="11906" w:h="16838"/>
          <w:pgMar w:top="1134" w:right="851" w:bottom="1134" w:left="1701" w:header="709" w:footer="709" w:gutter="0"/>
          <w:cols w:space="708"/>
          <w:docGrid w:linePitch="360"/>
        </w:sectPr>
      </w:pPr>
    </w:p>
    <w:p w:rsidR="00DC1467" w:rsidRDefault="00B70D3E">
      <w:pPr>
        <w:spacing w:line="240" w:lineRule="auto"/>
        <w:ind w:firstLine="0"/>
        <w:jc w:val="right"/>
      </w:pPr>
      <w:r>
        <w:t>Таблица 7</w:t>
      </w:r>
    </w:p>
    <w:p w:rsidR="00DC1467" w:rsidRDefault="00B70D3E">
      <w:pPr>
        <w:spacing w:line="240" w:lineRule="auto"/>
        <w:ind w:firstLine="0"/>
        <w:jc w:val="center"/>
        <w:rPr>
          <w:rFonts w:eastAsia="Calibri"/>
          <w:b/>
          <w:color w:val="000000"/>
        </w:rPr>
      </w:pPr>
      <w:r>
        <w:rPr>
          <w:b/>
        </w:rPr>
        <w:t xml:space="preserve">Критерии оценки развития наркоситуации в </w:t>
      </w:r>
      <w:r>
        <w:rPr>
          <w:rFonts w:eastAsia="Calibri"/>
          <w:b/>
          <w:color w:val="000000"/>
        </w:rPr>
        <w:t>Ханты-Мансийском автономном округе – Югре</w:t>
      </w:r>
    </w:p>
    <w:p w:rsidR="00DC1467" w:rsidRDefault="00B70D3E">
      <w:pPr>
        <w:spacing w:line="240" w:lineRule="auto"/>
        <w:ind w:firstLine="0"/>
        <w:jc w:val="center"/>
        <w:rPr>
          <w:rFonts w:eastAsia="Calibri"/>
          <w:b/>
          <w:color w:val="000000"/>
        </w:rPr>
      </w:pPr>
      <w:r>
        <w:rPr>
          <w:rFonts w:eastAsia="Calibri"/>
          <w:b/>
          <w:color w:val="000000"/>
        </w:rPr>
        <w:t>в разрезе муниципальных образований в баллах</w:t>
      </w:r>
    </w:p>
    <w:tbl>
      <w:tblPr>
        <w:tblW w:w="14757" w:type="dxa"/>
        <w:tblInd w:w="93" w:type="dxa"/>
        <w:tblLayout w:type="fixed"/>
        <w:tblLook w:val="04A0" w:firstRow="1" w:lastRow="0" w:firstColumn="1" w:lastColumn="0" w:noHBand="0" w:noVBand="1"/>
      </w:tblPr>
      <w:tblGrid>
        <w:gridCol w:w="3134"/>
        <w:gridCol w:w="1417"/>
        <w:gridCol w:w="1134"/>
        <w:gridCol w:w="1418"/>
        <w:gridCol w:w="1276"/>
        <w:gridCol w:w="1417"/>
        <w:gridCol w:w="1134"/>
        <w:gridCol w:w="1276"/>
        <w:gridCol w:w="1276"/>
        <w:gridCol w:w="1275"/>
      </w:tblGrid>
      <w:tr w:rsidR="00DC1467">
        <w:trPr>
          <w:trHeight w:val="3710"/>
          <w:tblHeader/>
        </w:trPr>
        <w:tc>
          <w:tcPr>
            <w:tcW w:w="3134" w:type="dxa"/>
            <w:tcBorders>
              <w:top w:val="single" w:sz="4" w:space="0" w:color="auto"/>
              <w:left w:val="single" w:sz="4" w:space="0" w:color="auto"/>
              <w:bottom w:val="single" w:sz="4" w:space="0" w:color="auto"/>
              <w:right w:val="single" w:sz="4" w:space="0" w:color="auto"/>
            </w:tcBorders>
            <w:shd w:val="clear" w:color="auto" w:fill="auto"/>
            <w:vAlign w:val="center"/>
          </w:tcPr>
          <w:p w:rsidR="00DC1467" w:rsidRDefault="00B70D3E">
            <w:pPr>
              <w:spacing w:line="240" w:lineRule="auto"/>
              <w:ind w:firstLine="0"/>
              <w:jc w:val="center"/>
              <w:rPr>
                <w:color w:val="000000"/>
                <w:sz w:val="23"/>
                <w:szCs w:val="23"/>
              </w:rPr>
            </w:pPr>
            <w:r>
              <w:rPr>
                <w:color w:val="000000"/>
                <w:sz w:val="23"/>
                <w:szCs w:val="23"/>
              </w:rPr>
              <w:t>Муниципальное образование</w:t>
            </w:r>
          </w:p>
        </w:tc>
        <w:tc>
          <w:tcPr>
            <w:tcW w:w="1417" w:type="dxa"/>
            <w:tcBorders>
              <w:top w:val="single" w:sz="4" w:space="0" w:color="auto"/>
              <w:left w:val="none" w:sz="4" w:space="0" w:color="000000"/>
              <w:bottom w:val="none" w:sz="4" w:space="0" w:color="000000"/>
              <w:right w:val="single" w:sz="4" w:space="0" w:color="auto"/>
            </w:tcBorders>
            <w:shd w:val="clear" w:color="auto" w:fill="auto"/>
            <w:textDirection w:val="btLr"/>
            <w:vAlign w:val="center"/>
          </w:tcPr>
          <w:p w:rsidR="00DC1467" w:rsidRDefault="00B70D3E">
            <w:pPr>
              <w:spacing w:line="240" w:lineRule="auto"/>
              <w:ind w:firstLine="0"/>
              <w:jc w:val="center"/>
              <w:rPr>
                <w:b/>
                <w:bCs/>
                <w:color w:val="000000"/>
                <w:sz w:val="23"/>
                <w:szCs w:val="23"/>
              </w:rPr>
            </w:pPr>
            <w:r>
              <w:rPr>
                <w:b/>
                <w:bCs/>
                <w:color w:val="000000"/>
                <w:sz w:val="23"/>
                <w:szCs w:val="23"/>
              </w:rPr>
              <w:t>ОП1. Вовлеченность населения в незаконный оборот наркотиков</w:t>
            </w:r>
          </w:p>
        </w:tc>
        <w:tc>
          <w:tcPr>
            <w:tcW w:w="1134" w:type="dxa"/>
            <w:tcBorders>
              <w:top w:val="single" w:sz="4" w:space="0" w:color="auto"/>
              <w:left w:val="none" w:sz="4" w:space="0" w:color="000000"/>
              <w:bottom w:val="none" w:sz="4" w:space="0" w:color="000000"/>
              <w:right w:val="single" w:sz="4" w:space="0" w:color="auto"/>
            </w:tcBorders>
            <w:shd w:val="clear" w:color="auto" w:fill="auto"/>
            <w:textDirection w:val="btLr"/>
            <w:vAlign w:val="center"/>
          </w:tcPr>
          <w:p w:rsidR="00DC1467" w:rsidRDefault="00B70D3E">
            <w:pPr>
              <w:spacing w:line="240" w:lineRule="auto"/>
              <w:ind w:firstLine="0"/>
              <w:jc w:val="center"/>
              <w:rPr>
                <w:b/>
                <w:bCs/>
                <w:color w:val="000000"/>
                <w:sz w:val="23"/>
                <w:szCs w:val="23"/>
              </w:rPr>
            </w:pPr>
            <w:r>
              <w:rPr>
                <w:b/>
                <w:bCs/>
                <w:color w:val="000000"/>
                <w:sz w:val="23"/>
                <w:szCs w:val="23"/>
              </w:rPr>
              <w:t xml:space="preserve">ОП2. Уровень вовлеченности несовершеннолетних в незаконный оборот наркотиков </w:t>
            </w:r>
          </w:p>
        </w:tc>
        <w:tc>
          <w:tcPr>
            <w:tcW w:w="1418" w:type="dxa"/>
            <w:tcBorders>
              <w:top w:val="single" w:sz="4" w:space="0" w:color="auto"/>
              <w:left w:val="none" w:sz="4" w:space="0" w:color="000000"/>
              <w:bottom w:val="none" w:sz="4" w:space="0" w:color="000000"/>
              <w:right w:val="single" w:sz="4" w:space="0" w:color="auto"/>
            </w:tcBorders>
            <w:shd w:val="clear" w:color="auto" w:fill="auto"/>
            <w:textDirection w:val="btLr"/>
            <w:vAlign w:val="center"/>
          </w:tcPr>
          <w:p w:rsidR="00DC1467" w:rsidRDefault="00B70D3E">
            <w:pPr>
              <w:spacing w:line="240" w:lineRule="auto"/>
              <w:ind w:firstLine="0"/>
              <w:jc w:val="center"/>
              <w:rPr>
                <w:b/>
                <w:bCs/>
                <w:color w:val="000000"/>
                <w:sz w:val="23"/>
                <w:szCs w:val="23"/>
              </w:rPr>
            </w:pPr>
            <w:r>
              <w:rPr>
                <w:b/>
                <w:bCs/>
                <w:color w:val="000000"/>
                <w:sz w:val="23"/>
                <w:szCs w:val="23"/>
              </w:rPr>
              <w:t>ОП3. Криминогенность наркомании</w:t>
            </w:r>
          </w:p>
        </w:tc>
        <w:tc>
          <w:tcPr>
            <w:tcW w:w="1276" w:type="dxa"/>
            <w:tcBorders>
              <w:top w:val="single" w:sz="4" w:space="0" w:color="auto"/>
              <w:left w:val="none" w:sz="4" w:space="0" w:color="000000"/>
              <w:bottom w:val="none" w:sz="4" w:space="0" w:color="000000"/>
              <w:right w:val="single" w:sz="4" w:space="0" w:color="auto"/>
            </w:tcBorders>
            <w:shd w:val="clear" w:color="auto" w:fill="auto"/>
            <w:textDirection w:val="btLr"/>
            <w:vAlign w:val="center"/>
          </w:tcPr>
          <w:p w:rsidR="00DC1467" w:rsidRDefault="00B70D3E">
            <w:pPr>
              <w:spacing w:line="240" w:lineRule="auto"/>
              <w:ind w:firstLine="0"/>
              <w:jc w:val="center"/>
              <w:rPr>
                <w:b/>
                <w:bCs/>
                <w:color w:val="000000"/>
                <w:sz w:val="23"/>
                <w:szCs w:val="23"/>
              </w:rPr>
            </w:pPr>
            <w:r>
              <w:rPr>
                <w:b/>
                <w:bCs/>
                <w:color w:val="000000"/>
                <w:sz w:val="23"/>
                <w:szCs w:val="23"/>
              </w:rPr>
              <w:t>ОП4. Уровень криминогенности наркомании среди несовершенноле</w:t>
            </w:r>
            <w:r>
              <w:rPr>
                <w:b/>
                <w:bCs/>
                <w:color w:val="000000"/>
                <w:sz w:val="23"/>
                <w:szCs w:val="23"/>
              </w:rPr>
              <w:t xml:space="preserve">тних </w:t>
            </w:r>
          </w:p>
        </w:tc>
        <w:tc>
          <w:tcPr>
            <w:tcW w:w="1417" w:type="dxa"/>
            <w:tcBorders>
              <w:top w:val="single" w:sz="4" w:space="0" w:color="auto"/>
              <w:left w:val="none" w:sz="4" w:space="0" w:color="000000"/>
              <w:bottom w:val="none" w:sz="4" w:space="0" w:color="000000"/>
              <w:right w:val="single" w:sz="4" w:space="0" w:color="auto"/>
            </w:tcBorders>
            <w:shd w:val="clear" w:color="auto" w:fill="auto"/>
            <w:textDirection w:val="btLr"/>
            <w:vAlign w:val="center"/>
          </w:tcPr>
          <w:p w:rsidR="00DC1467" w:rsidRDefault="00B70D3E">
            <w:pPr>
              <w:spacing w:line="240" w:lineRule="auto"/>
              <w:ind w:firstLine="0"/>
              <w:jc w:val="center"/>
              <w:rPr>
                <w:b/>
                <w:bCs/>
                <w:color w:val="000000"/>
                <w:sz w:val="23"/>
                <w:szCs w:val="23"/>
              </w:rPr>
            </w:pPr>
            <w:r>
              <w:rPr>
                <w:b/>
                <w:bCs/>
                <w:color w:val="000000"/>
                <w:sz w:val="23"/>
                <w:szCs w:val="23"/>
              </w:rPr>
              <w:t>ОП7. Уровень первичной заболеваемости наркологическими расстройствами, связанными с употреблением наркотиков</w:t>
            </w:r>
          </w:p>
        </w:tc>
        <w:tc>
          <w:tcPr>
            <w:tcW w:w="1134" w:type="dxa"/>
            <w:tcBorders>
              <w:top w:val="single" w:sz="4" w:space="0" w:color="auto"/>
              <w:left w:val="none" w:sz="4" w:space="0" w:color="000000"/>
              <w:bottom w:val="none" w:sz="4" w:space="0" w:color="000000"/>
              <w:right w:val="single" w:sz="4" w:space="0" w:color="auto"/>
            </w:tcBorders>
            <w:shd w:val="clear" w:color="auto" w:fill="auto"/>
            <w:textDirection w:val="btLr"/>
            <w:vAlign w:val="center"/>
          </w:tcPr>
          <w:p w:rsidR="00DC1467" w:rsidRDefault="00B70D3E">
            <w:pPr>
              <w:spacing w:line="240" w:lineRule="auto"/>
              <w:ind w:firstLine="0"/>
              <w:jc w:val="center"/>
              <w:rPr>
                <w:b/>
                <w:bCs/>
                <w:color w:val="000000"/>
                <w:sz w:val="23"/>
                <w:szCs w:val="23"/>
              </w:rPr>
            </w:pPr>
            <w:r>
              <w:rPr>
                <w:b/>
                <w:bCs/>
                <w:color w:val="000000"/>
                <w:sz w:val="23"/>
                <w:szCs w:val="23"/>
              </w:rPr>
              <w:t>ОП8. Острые отравления наркотиками</w:t>
            </w:r>
          </w:p>
        </w:tc>
        <w:tc>
          <w:tcPr>
            <w:tcW w:w="1276" w:type="dxa"/>
            <w:tcBorders>
              <w:top w:val="single" w:sz="4" w:space="0" w:color="auto"/>
              <w:left w:val="none" w:sz="4" w:space="0" w:color="000000"/>
              <w:bottom w:val="none" w:sz="4" w:space="0" w:color="000000"/>
              <w:right w:val="single" w:sz="4" w:space="0" w:color="auto"/>
            </w:tcBorders>
            <w:shd w:val="clear" w:color="auto" w:fill="auto"/>
            <w:textDirection w:val="btLr"/>
            <w:vAlign w:val="center"/>
          </w:tcPr>
          <w:p w:rsidR="00DC1467" w:rsidRDefault="00B70D3E">
            <w:pPr>
              <w:spacing w:line="240" w:lineRule="auto"/>
              <w:ind w:firstLine="0"/>
              <w:jc w:val="center"/>
              <w:rPr>
                <w:b/>
                <w:bCs/>
                <w:color w:val="000000"/>
                <w:sz w:val="23"/>
                <w:szCs w:val="23"/>
              </w:rPr>
            </w:pPr>
            <w:r>
              <w:rPr>
                <w:b/>
                <w:bCs/>
                <w:color w:val="000000"/>
                <w:sz w:val="23"/>
                <w:szCs w:val="23"/>
              </w:rPr>
              <w:t>ОП9. Острые отравления наркотиками среди несовершеннолетних</w:t>
            </w:r>
          </w:p>
        </w:tc>
        <w:tc>
          <w:tcPr>
            <w:tcW w:w="1276" w:type="dxa"/>
            <w:tcBorders>
              <w:top w:val="single" w:sz="4" w:space="0" w:color="auto"/>
              <w:left w:val="none" w:sz="4" w:space="0" w:color="000000"/>
              <w:bottom w:val="none" w:sz="4" w:space="0" w:color="000000"/>
              <w:right w:val="single" w:sz="4" w:space="0" w:color="auto"/>
            </w:tcBorders>
            <w:shd w:val="clear" w:color="auto" w:fill="auto"/>
            <w:textDirection w:val="btLr"/>
            <w:vAlign w:val="center"/>
          </w:tcPr>
          <w:p w:rsidR="00DC1467" w:rsidRDefault="00B70D3E">
            <w:pPr>
              <w:spacing w:line="240" w:lineRule="auto"/>
              <w:ind w:firstLine="0"/>
              <w:jc w:val="center"/>
              <w:rPr>
                <w:b/>
                <w:bCs/>
                <w:color w:val="000000"/>
                <w:sz w:val="23"/>
                <w:szCs w:val="23"/>
              </w:rPr>
            </w:pPr>
            <w:r>
              <w:rPr>
                <w:b/>
                <w:bCs/>
                <w:color w:val="000000"/>
                <w:sz w:val="23"/>
                <w:szCs w:val="23"/>
              </w:rPr>
              <w:t>ОП10. Смертность, связанная с острым отравлением наркотиками</w:t>
            </w:r>
          </w:p>
        </w:tc>
        <w:tc>
          <w:tcPr>
            <w:tcW w:w="1275" w:type="dxa"/>
            <w:tcBorders>
              <w:top w:val="single" w:sz="4" w:space="0" w:color="auto"/>
              <w:left w:val="none" w:sz="4" w:space="0" w:color="000000"/>
              <w:bottom w:val="none" w:sz="4" w:space="0" w:color="000000"/>
              <w:right w:val="single" w:sz="4" w:space="0" w:color="auto"/>
            </w:tcBorders>
            <w:shd w:val="clear" w:color="auto" w:fill="auto"/>
            <w:vAlign w:val="center"/>
          </w:tcPr>
          <w:p w:rsidR="00DC1467" w:rsidRDefault="00B70D3E">
            <w:pPr>
              <w:spacing w:line="240" w:lineRule="auto"/>
              <w:ind w:firstLine="0"/>
              <w:jc w:val="center"/>
              <w:rPr>
                <w:b/>
                <w:bCs/>
                <w:color w:val="000000"/>
                <w:sz w:val="23"/>
                <w:szCs w:val="23"/>
              </w:rPr>
            </w:pPr>
            <w:r>
              <w:rPr>
                <w:b/>
                <w:bCs/>
                <w:color w:val="000000"/>
                <w:sz w:val="23"/>
                <w:szCs w:val="23"/>
              </w:rPr>
              <w:t>ПрО. Предварительная итоговая оценка</w:t>
            </w:r>
          </w:p>
        </w:tc>
      </w:tr>
      <w:tr w:rsidR="00DC1467">
        <w:trPr>
          <w:trHeight w:val="255"/>
          <w:tblHeader/>
        </w:trPr>
        <w:tc>
          <w:tcPr>
            <w:tcW w:w="3134" w:type="dxa"/>
            <w:tcBorders>
              <w:top w:val="none" w:sz="4" w:space="0" w:color="000000"/>
              <w:left w:val="single" w:sz="4" w:space="0" w:color="auto"/>
              <w:bottom w:val="single" w:sz="4" w:space="0" w:color="auto"/>
              <w:right w:val="single" w:sz="4" w:space="0" w:color="auto"/>
            </w:tcBorders>
            <w:shd w:val="clear" w:color="auto" w:fill="auto"/>
            <w:vAlign w:val="center"/>
          </w:tcPr>
          <w:p w:rsidR="00DC1467" w:rsidRDefault="00B70D3E">
            <w:pPr>
              <w:spacing w:line="240" w:lineRule="auto"/>
              <w:ind w:firstLine="0"/>
              <w:jc w:val="center"/>
              <w:rPr>
                <w:color w:val="000000"/>
                <w:sz w:val="20"/>
                <w:szCs w:val="20"/>
              </w:rPr>
            </w:pPr>
            <w:r>
              <w:rPr>
                <w:color w:val="000000"/>
                <w:sz w:val="20"/>
                <w:szCs w:val="20"/>
              </w:rPr>
              <w:t>1</w:t>
            </w:r>
          </w:p>
        </w:tc>
        <w:tc>
          <w:tcPr>
            <w:tcW w:w="1417" w:type="dxa"/>
            <w:tcBorders>
              <w:top w:val="single" w:sz="4" w:space="0" w:color="auto"/>
              <w:left w:val="none" w:sz="4" w:space="0" w:color="000000"/>
              <w:bottom w:val="single" w:sz="4" w:space="0" w:color="auto"/>
              <w:right w:val="single" w:sz="4" w:space="0" w:color="auto"/>
            </w:tcBorders>
            <w:shd w:val="clear" w:color="auto" w:fill="auto"/>
            <w:vAlign w:val="center"/>
          </w:tcPr>
          <w:p w:rsidR="00DC1467" w:rsidRDefault="00B70D3E">
            <w:pPr>
              <w:spacing w:line="240" w:lineRule="auto"/>
              <w:ind w:firstLine="0"/>
              <w:jc w:val="center"/>
              <w:rPr>
                <w:color w:val="000000"/>
                <w:sz w:val="20"/>
                <w:szCs w:val="20"/>
              </w:rPr>
            </w:pPr>
            <w:r>
              <w:rPr>
                <w:color w:val="000000"/>
                <w:sz w:val="20"/>
                <w:szCs w:val="20"/>
              </w:rPr>
              <w:t>2</w:t>
            </w:r>
          </w:p>
        </w:tc>
        <w:tc>
          <w:tcPr>
            <w:tcW w:w="1134" w:type="dxa"/>
            <w:tcBorders>
              <w:top w:val="single" w:sz="4" w:space="0" w:color="auto"/>
              <w:left w:val="none" w:sz="4" w:space="0" w:color="000000"/>
              <w:bottom w:val="single" w:sz="4" w:space="0" w:color="auto"/>
              <w:right w:val="single" w:sz="4" w:space="0" w:color="auto"/>
            </w:tcBorders>
            <w:shd w:val="clear" w:color="auto" w:fill="auto"/>
            <w:vAlign w:val="center"/>
          </w:tcPr>
          <w:p w:rsidR="00DC1467" w:rsidRDefault="00B70D3E">
            <w:pPr>
              <w:spacing w:line="240" w:lineRule="auto"/>
              <w:ind w:firstLine="0"/>
              <w:jc w:val="center"/>
              <w:rPr>
                <w:color w:val="000000"/>
                <w:sz w:val="20"/>
                <w:szCs w:val="20"/>
              </w:rPr>
            </w:pPr>
            <w:r>
              <w:rPr>
                <w:color w:val="000000"/>
                <w:sz w:val="20"/>
                <w:szCs w:val="20"/>
              </w:rPr>
              <w:t>3</w:t>
            </w:r>
          </w:p>
        </w:tc>
        <w:tc>
          <w:tcPr>
            <w:tcW w:w="1418" w:type="dxa"/>
            <w:tcBorders>
              <w:top w:val="single" w:sz="4" w:space="0" w:color="auto"/>
              <w:left w:val="none" w:sz="4" w:space="0" w:color="000000"/>
              <w:bottom w:val="single" w:sz="4" w:space="0" w:color="auto"/>
              <w:right w:val="single" w:sz="4" w:space="0" w:color="auto"/>
            </w:tcBorders>
            <w:shd w:val="clear" w:color="auto" w:fill="auto"/>
            <w:vAlign w:val="center"/>
          </w:tcPr>
          <w:p w:rsidR="00DC1467" w:rsidRDefault="00B70D3E">
            <w:pPr>
              <w:spacing w:line="240" w:lineRule="auto"/>
              <w:ind w:firstLine="0"/>
              <w:jc w:val="center"/>
              <w:rPr>
                <w:color w:val="000000"/>
                <w:sz w:val="20"/>
                <w:szCs w:val="20"/>
              </w:rPr>
            </w:pPr>
            <w:r>
              <w:rPr>
                <w:color w:val="000000"/>
                <w:sz w:val="20"/>
                <w:szCs w:val="20"/>
              </w:rPr>
              <w:t>4</w:t>
            </w:r>
          </w:p>
        </w:tc>
        <w:tc>
          <w:tcPr>
            <w:tcW w:w="1276" w:type="dxa"/>
            <w:tcBorders>
              <w:top w:val="single" w:sz="4" w:space="0" w:color="auto"/>
              <w:left w:val="none" w:sz="4" w:space="0" w:color="000000"/>
              <w:bottom w:val="single" w:sz="4" w:space="0" w:color="auto"/>
              <w:right w:val="single" w:sz="4" w:space="0" w:color="auto"/>
            </w:tcBorders>
            <w:shd w:val="clear" w:color="auto" w:fill="auto"/>
            <w:vAlign w:val="center"/>
          </w:tcPr>
          <w:p w:rsidR="00DC1467" w:rsidRDefault="00B70D3E">
            <w:pPr>
              <w:spacing w:line="240" w:lineRule="auto"/>
              <w:ind w:firstLine="0"/>
              <w:jc w:val="center"/>
              <w:rPr>
                <w:color w:val="000000"/>
                <w:sz w:val="20"/>
                <w:szCs w:val="20"/>
              </w:rPr>
            </w:pPr>
            <w:r>
              <w:rPr>
                <w:color w:val="000000"/>
                <w:sz w:val="20"/>
                <w:szCs w:val="20"/>
              </w:rPr>
              <w:t>5</w:t>
            </w:r>
          </w:p>
        </w:tc>
        <w:tc>
          <w:tcPr>
            <w:tcW w:w="1417" w:type="dxa"/>
            <w:tcBorders>
              <w:top w:val="single" w:sz="4" w:space="0" w:color="auto"/>
              <w:left w:val="none" w:sz="4" w:space="0" w:color="000000"/>
              <w:bottom w:val="single" w:sz="4" w:space="0" w:color="auto"/>
              <w:right w:val="single" w:sz="4" w:space="0" w:color="auto"/>
            </w:tcBorders>
            <w:shd w:val="clear" w:color="auto" w:fill="auto"/>
            <w:vAlign w:val="center"/>
          </w:tcPr>
          <w:p w:rsidR="00DC1467" w:rsidRDefault="00B70D3E">
            <w:pPr>
              <w:spacing w:line="240" w:lineRule="auto"/>
              <w:ind w:firstLine="0"/>
              <w:jc w:val="center"/>
              <w:rPr>
                <w:color w:val="000000"/>
                <w:sz w:val="20"/>
                <w:szCs w:val="20"/>
              </w:rPr>
            </w:pPr>
            <w:r>
              <w:rPr>
                <w:color w:val="000000"/>
                <w:sz w:val="20"/>
                <w:szCs w:val="20"/>
              </w:rPr>
              <w:t>6</w:t>
            </w:r>
          </w:p>
        </w:tc>
        <w:tc>
          <w:tcPr>
            <w:tcW w:w="1134" w:type="dxa"/>
            <w:tcBorders>
              <w:top w:val="single" w:sz="4" w:space="0" w:color="auto"/>
              <w:left w:val="none" w:sz="4" w:space="0" w:color="000000"/>
              <w:bottom w:val="single" w:sz="4" w:space="0" w:color="auto"/>
              <w:right w:val="single" w:sz="4" w:space="0" w:color="auto"/>
            </w:tcBorders>
            <w:shd w:val="clear" w:color="auto" w:fill="auto"/>
            <w:vAlign w:val="center"/>
          </w:tcPr>
          <w:p w:rsidR="00DC1467" w:rsidRDefault="00B70D3E">
            <w:pPr>
              <w:spacing w:line="240" w:lineRule="auto"/>
              <w:ind w:firstLine="0"/>
              <w:jc w:val="center"/>
              <w:rPr>
                <w:color w:val="000000"/>
                <w:sz w:val="20"/>
                <w:szCs w:val="20"/>
              </w:rPr>
            </w:pPr>
            <w:r>
              <w:rPr>
                <w:color w:val="000000"/>
                <w:sz w:val="20"/>
                <w:szCs w:val="20"/>
              </w:rPr>
              <w:t>7</w:t>
            </w:r>
          </w:p>
        </w:tc>
        <w:tc>
          <w:tcPr>
            <w:tcW w:w="1276" w:type="dxa"/>
            <w:tcBorders>
              <w:top w:val="single" w:sz="4" w:space="0" w:color="auto"/>
              <w:left w:val="none" w:sz="4" w:space="0" w:color="000000"/>
              <w:bottom w:val="single" w:sz="4" w:space="0" w:color="auto"/>
              <w:right w:val="single" w:sz="4" w:space="0" w:color="auto"/>
            </w:tcBorders>
            <w:shd w:val="clear" w:color="auto" w:fill="auto"/>
            <w:vAlign w:val="center"/>
          </w:tcPr>
          <w:p w:rsidR="00DC1467" w:rsidRDefault="00B70D3E">
            <w:pPr>
              <w:spacing w:line="240" w:lineRule="auto"/>
              <w:ind w:firstLine="0"/>
              <w:jc w:val="center"/>
              <w:rPr>
                <w:color w:val="000000"/>
                <w:sz w:val="20"/>
                <w:szCs w:val="20"/>
              </w:rPr>
            </w:pPr>
            <w:r>
              <w:rPr>
                <w:color w:val="000000"/>
                <w:sz w:val="20"/>
                <w:szCs w:val="20"/>
              </w:rPr>
              <w:t>8</w:t>
            </w:r>
          </w:p>
        </w:tc>
        <w:tc>
          <w:tcPr>
            <w:tcW w:w="1276" w:type="dxa"/>
            <w:tcBorders>
              <w:top w:val="single" w:sz="4" w:space="0" w:color="auto"/>
              <w:left w:val="none" w:sz="4" w:space="0" w:color="000000"/>
              <w:bottom w:val="single" w:sz="4" w:space="0" w:color="auto"/>
              <w:right w:val="single" w:sz="4" w:space="0" w:color="auto"/>
            </w:tcBorders>
            <w:shd w:val="clear" w:color="auto" w:fill="auto"/>
            <w:vAlign w:val="center"/>
          </w:tcPr>
          <w:p w:rsidR="00DC1467" w:rsidRDefault="00B70D3E">
            <w:pPr>
              <w:spacing w:line="240" w:lineRule="auto"/>
              <w:ind w:firstLine="0"/>
              <w:jc w:val="center"/>
              <w:rPr>
                <w:color w:val="000000"/>
                <w:sz w:val="20"/>
                <w:szCs w:val="20"/>
              </w:rPr>
            </w:pPr>
            <w:r>
              <w:rPr>
                <w:color w:val="000000"/>
                <w:sz w:val="20"/>
                <w:szCs w:val="20"/>
              </w:rPr>
              <w:t>9</w:t>
            </w:r>
          </w:p>
        </w:tc>
        <w:tc>
          <w:tcPr>
            <w:tcW w:w="1275" w:type="dxa"/>
            <w:tcBorders>
              <w:top w:val="single" w:sz="4" w:space="0" w:color="auto"/>
              <w:left w:val="none" w:sz="4" w:space="0" w:color="000000"/>
              <w:bottom w:val="single" w:sz="4" w:space="0" w:color="auto"/>
              <w:right w:val="single" w:sz="4" w:space="0" w:color="auto"/>
            </w:tcBorders>
            <w:shd w:val="clear" w:color="auto" w:fill="auto"/>
            <w:vAlign w:val="center"/>
          </w:tcPr>
          <w:p w:rsidR="00DC1467" w:rsidRDefault="00B70D3E">
            <w:pPr>
              <w:spacing w:line="240" w:lineRule="auto"/>
              <w:ind w:firstLine="0"/>
              <w:jc w:val="center"/>
              <w:rPr>
                <w:color w:val="000000"/>
                <w:sz w:val="20"/>
                <w:szCs w:val="20"/>
              </w:rPr>
            </w:pPr>
            <w:r>
              <w:rPr>
                <w:color w:val="000000"/>
                <w:sz w:val="20"/>
                <w:szCs w:val="20"/>
              </w:rPr>
              <w:t>10</w:t>
            </w:r>
          </w:p>
        </w:tc>
      </w:tr>
      <w:tr w:rsidR="00DC1467">
        <w:trPr>
          <w:trHeight w:val="227"/>
        </w:trPr>
        <w:tc>
          <w:tcPr>
            <w:tcW w:w="3134" w:type="dxa"/>
            <w:tcBorders>
              <w:top w:val="none" w:sz="4" w:space="0" w:color="000000"/>
              <w:left w:val="single" w:sz="4" w:space="0" w:color="auto"/>
              <w:bottom w:val="single" w:sz="4" w:space="0" w:color="auto"/>
              <w:right w:val="single" w:sz="4" w:space="0" w:color="auto"/>
            </w:tcBorders>
            <w:shd w:val="clear" w:color="auto" w:fill="auto"/>
            <w:vAlign w:val="center"/>
          </w:tcPr>
          <w:p w:rsidR="00DC1467" w:rsidRDefault="00B70D3E">
            <w:pPr>
              <w:spacing w:line="240" w:lineRule="auto"/>
              <w:ind w:firstLine="0"/>
              <w:jc w:val="left"/>
              <w:rPr>
                <w:b/>
                <w:bCs/>
                <w:color w:val="000000"/>
                <w:sz w:val="23"/>
                <w:szCs w:val="23"/>
              </w:rPr>
            </w:pPr>
            <w:r>
              <w:rPr>
                <w:b/>
                <w:bCs/>
                <w:color w:val="000000"/>
                <w:sz w:val="23"/>
                <w:szCs w:val="23"/>
              </w:rPr>
              <w:t>Ханты-Мансийский автономный округ - Югра</w:t>
            </w:r>
          </w:p>
        </w:tc>
        <w:tc>
          <w:tcPr>
            <w:tcW w:w="1417" w:type="dxa"/>
            <w:tcBorders>
              <w:top w:val="single" w:sz="4" w:space="0" w:color="auto"/>
              <w:left w:val="single" w:sz="4" w:space="0" w:color="auto"/>
              <w:bottom w:val="single" w:sz="4" w:space="0" w:color="auto"/>
              <w:right w:val="single" w:sz="4" w:space="0" w:color="auto"/>
            </w:tcBorders>
            <w:shd w:val="clear" w:color="000000" w:fill="FFFF52"/>
            <w:vAlign w:val="center"/>
          </w:tcPr>
          <w:p w:rsidR="00DC1467" w:rsidRDefault="00B70D3E">
            <w:pPr>
              <w:spacing w:line="240" w:lineRule="auto"/>
              <w:ind w:firstLine="0"/>
              <w:jc w:val="center"/>
              <w:rPr>
                <w:b/>
                <w:bCs/>
                <w:color w:val="000000"/>
                <w:sz w:val="23"/>
                <w:szCs w:val="23"/>
              </w:rPr>
            </w:pPr>
            <w:r>
              <w:rPr>
                <w:b/>
                <w:bCs/>
                <w:color w:val="000000"/>
                <w:sz w:val="23"/>
                <w:szCs w:val="23"/>
              </w:rPr>
              <w:t>32,1</w:t>
            </w:r>
          </w:p>
        </w:tc>
        <w:tc>
          <w:tcPr>
            <w:tcW w:w="1134"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b/>
                <w:bCs/>
                <w:color w:val="000000"/>
                <w:sz w:val="23"/>
                <w:szCs w:val="23"/>
              </w:rPr>
            </w:pPr>
            <w:r>
              <w:rPr>
                <w:b/>
                <w:bCs/>
                <w:color w:val="000000"/>
                <w:sz w:val="23"/>
                <w:szCs w:val="23"/>
              </w:rPr>
              <w:t>15,0</w:t>
            </w:r>
          </w:p>
        </w:tc>
        <w:tc>
          <w:tcPr>
            <w:tcW w:w="1418" w:type="dxa"/>
            <w:tcBorders>
              <w:top w:val="single" w:sz="4" w:space="0" w:color="auto"/>
              <w:left w:val="single" w:sz="4" w:space="0" w:color="auto"/>
              <w:bottom w:val="single" w:sz="4" w:space="0" w:color="auto"/>
              <w:right w:val="single" w:sz="4" w:space="0" w:color="auto"/>
            </w:tcBorders>
            <w:shd w:val="clear" w:color="000000" w:fill="FFFF52"/>
            <w:vAlign w:val="center"/>
          </w:tcPr>
          <w:p w:rsidR="00DC1467" w:rsidRDefault="00B70D3E">
            <w:pPr>
              <w:spacing w:line="240" w:lineRule="auto"/>
              <w:ind w:firstLine="0"/>
              <w:jc w:val="center"/>
              <w:rPr>
                <w:b/>
                <w:bCs/>
                <w:color w:val="000000"/>
                <w:sz w:val="23"/>
                <w:szCs w:val="23"/>
              </w:rPr>
            </w:pPr>
            <w:r>
              <w:rPr>
                <w:b/>
                <w:bCs/>
                <w:color w:val="000000"/>
                <w:sz w:val="23"/>
                <w:szCs w:val="23"/>
              </w:rPr>
              <w:t>34,8</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b/>
                <w:bCs/>
                <w:color w:val="000000"/>
                <w:sz w:val="23"/>
                <w:szCs w:val="23"/>
              </w:rPr>
            </w:pPr>
            <w:r>
              <w:rPr>
                <w:b/>
                <w:bCs/>
                <w:color w:val="000000"/>
                <w:sz w:val="23"/>
                <w:szCs w:val="23"/>
              </w:rPr>
              <w:t>17,4</w:t>
            </w:r>
          </w:p>
        </w:tc>
        <w:tc>
          <w:tcPr>
            <w:tcW w:w="1417" w:type="dxa"/>
            <w:tcBorders>
              <w:top w:val="single" w:sz="4" w:space="0" w:color="auto"/>
              <w:left w:val="single" w:sz="4" w:space="0" w:color="auto"/>
              <w:bottom w:val="single" w:sz="4" w:space="0" w:color="auto"/>
              <w:right w:val="single" w:sz="4" w:space="0" w:color="auto"/>
            </w:tcBorders>
            <w:shd w:val="clear" w:color="000000" w:fill="FFFF52"/>
            <w:vAlign w:val="center"/>
          </w:tcPr>
          <w:p w:rsidR="00DC1467" w:rsidRDefault="00B70D3E">
            <w:pPr>
              <w:spacing w:line="240" w:lineRule="auto"/>
              <w:ind w:firstLine="0"/>
              <w:jc w:val="center"/>
              <w:rPr>
                <w:b/>
                <w:bCs/>
                <w:color w:val="000000"/>
                <w:sz w:val="23"/>
                <w:szCs w:val="23"/>
              </w:rPr>
            </w:pPr>
            <w:r>
              <w:rPr>
                <w:b/>
                <w:bCs/>
                <w:color w:val="000000"/>
                <w:sz w:val="23"/>
                <w:szCs w:val="23"/>
              </w:rPr>
              <w:t>45,9</w:t>
            </w:r>
          </w:p>
        </w:tc>
        <w:tc>
          <w:tcPr>
            <w:tcW w:w="1134" w:type="dxa"/>
            <w:tcBorders>
              <w:top w:val="single" w:sz="4" w:space="0" w:color="auto"/>
              <w:left w:val="single" w:sz="4" w:space="0" w:color="auto"/>
              <w:bottom w:val="single" w:sz="4" w:space="0" w:color="auto"/>
              <w:right w:val="single" w:sz="4" w:space="0" w:color="auto"/>
            </w:tcBorders>
            <w:shd w:val="clear" w:color="000000" w:fill="FFFF52"/>
            <w:vAlign w:val="center"/>
          </w:tcPr>
          <w:p w:rsidR="00DC1467" w:rsidRDefault="00B70D3E">
            <w:pPr>
              <w:spacing w:line="240" w:lineRule="auto"/>
              <w:ind w:firstLine="0"/>
              <w:jc w:val="center"/>
              <w:rPr>
                <w:b/>
                <w:bCs/>
                <w:color w:val="000000"/>
                <w:sz w:val="23"/>
                <w:szCs w:val="23"/>
              </w:rPr>
            </w:pPr>
            <w:r>
              <w:rPr>
                <w:b/>
                <w:bCs/>
                <w:color w:val="000000"/>
                <w:sz w:val="23"/>
                <w:szCs w:val="23"/>
              </w:rPr>
              <w:t>26,3</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b/>
                <w:bCs/>
                <w:color w:val="000000"/>
                <w:sz w:val="23"/>
                <w:szCs w:val="23"/>
              </w:rPr>
            </w:pPr>
            <w:r>
              <w:rPr>
                <w:b/>
                <w:bCs/>
                <w:color w:val="000000"/>
                <w:sz w:val="23"/>
                <w:szCs w:val="23"/>
              </w:rPr>
              <w:t>5,5</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b/>
                <w:bCs/>
                <w:color w:val="000000"/>
                <w:sz w:val="23"/>
                <w:szCs w:val="23"/>
              </w:rPr>
            </w:pPr>
            <w:r>
              <w:rPr>
                <w:b/>
                <w:bCs/>
                <w:color w:val="000000"/>
                <w:sz w:val="23"/>
                <w:szCs w:val="23"/>
              </w:rPr>
              <w:t>23,1</w:t>
            </w:r>
          </w:p>
        </w:tc>
        <w:tc>
          <w:tcPr>
            <w:tcW w:w="1275"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b/>
                <w:bCs/>
                <w:color w:val="000000"/>
                <w:sz w:val="23"/>
                <w:szCs w:val="23"/>
              </w:rPr>
            </w:pPr>
            <w:r>
              <w:rPr>
                <w:b/>
                <w:bCs/>
                <w:color w:val="000000"/>
                <w:sz w:val="23"/>
                <w:szCs w:val="23"/>
              </w:rPr>
              <w:t>25,0</w:t>
            </w:r>
          </w:p>
        </w:tc>
      </w:tr>
      <w:tr w:rsidR="00DC1467">
        <w:trPr>
          <w:trHeight w:val="227"/>
        </w:trPr>
        <w:tc>
          <w:tcPr>
            <w:tcW w:w="3134" w:type="dxa"/>
            <w:tcBorders>
              <w:top w:val="none" w:sz="4" w:space="0" w:color="000000"/>
              <w:left w:val="single" w:sz="4" w:space="0" w:color="auto"/>
              <w:bottom w:val="single" w:sz="4" w:space="0" w:color="auto"/>
              <w:right w:val="single" w:sz="4" w:space="0" w:color="auto"/>
            </w:tcBorders>
            <w:shd w:val="clear" w:color="auto" w:fill="auto"/>
            <w:vAlign w:val="center"/>
          </w:tcPr>
          <w:p w:rsidR="00DC1467" w:rsidRDefault="00B70D3E">
            <w:pPr>
              <w:spacing w:line="240" w:lineRule="auto"/>
              <w:ind w:firstLine="0"/>
              <w:jc w:val="left"/>
              <w:rPr>
                <w:color w:val="000000"/>
                <w:sz w:val="23"/>
                <w:szCs w:val="23"/>
              </w:rPr>
            </w:pPr>
            <w:r>
              <w:rPr>
                <w:color w:val="000000"/>
                <w:sz w:val="23"/>
                <w:szCs w:val="23"/>
              </w:rPr>
              <w:t>г. Ханты-Мансийск</w:t>
            </w:r>
          </w:p>
        </w:tc>
        <w:tc>
          <w:tcPr>
            <w:tcW w:w="1417" w:type="dxa"/>
            <w:tcBorders>
              <w:top w:val="single" w:sz="4" w:space="0" w:color="auto"/>
              <w:left w:val="single" w:sz="4" w:space="0" w:color="auto"/>
              <w:bottom w:val="single" w:sz="4" w:space="0" w:color="auto"/>
              <w:right w:val="single" w:sz="4" w:space="0" w:color="auto"/>
            </w:tcBorders>
            <w:shd w:val="clear" w:color="000000" w:fill="FFFF52"/>
            <w:vAlign w:val="center"/>
          </w:tcPr>
          <w:p w:rsidR="00DC1467" w:rsidRDefault="00B70D3E">
            <w:pPr>
              <w:spacing w:line="240" w:lineRule="auto"/>
              <w:ind w:firstLine="0"/>
              <w:jc w:val="center"/>
              <w:rPr>
                <w:color w:val="000000"/>
                <w:sz w:val="23"/>
                <w:szCs w:val="23"/>
              </w:rPr>
            </w:pPr>
            <w:r>
              <w:rPr>
                <w:color w:val="000000"/>
                <w:sz w:val="23"/>
                <w:szCs w:val="23"/>
              </w:rPr>
              <w:t>30,6</w:t>
            </w:r>
          </w:p>
        </w:tc>
        <w:tc>
          <w:tcPr>
            <w:tcW w:w="1134"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17,7</w:t>
            </w:r>
          </w:p>
        </w:tc>
        <w:tc>
          <w:tcPr>
            <w:tcW w:w="1418" w:type="dxa"/>
            <w:tcBorders>
              <w:top w:val="single" w:sz="4" w:space="0" w:color="auto"/>
              <w:left w:val="single" w:sz="4" w:space="0" w:color="auto"/>
              <w:bottom w:val="single" w:sz="4" w:space="0" w:color="auto"/>
              <w:right w:val="single" w:sz="4" w:space="0" w:color="auto"/>
            </w:tcBorders>
            <w:shd w:val="clear" w:color="000000" w:fill="FFFF52"/>
            <w:vAlign w:val="center"/>
          </w:tcPr>
          <w:p w:rsidR="00DC1467" w:rsidRDefault="00B70D3E">
            <w:pPr>
              <w:spacing w:line="240" w:lineRule="auto"/>
              <w:ind w:firstLine="0"/>
              <w:jc w:val="center"/>
              <w:rPr>
                <w:color w:val="000000"/>
                <w:sz w:val="23"/>
                <w:szCs w:val="23"/>
              </w:rPr>
            </w:pPr>
            <w:r>
              <w:rPr>
                <w:color w:val="000000"/>
                <w:sz w:val="23"/>
                <w:szCs w:val="23"/>
              </w:rPr>
              <w:t>25,3</w:t>
            </w:r>
          </w:p>
        </w:tc>
        <w:tc>
          <w:tcPr>
            <w:tcW w:w="1276" w:type="dxa"/>
            <w:tcBorders>
              <w:top w:val="single" w:sz="4" w:space="0" w:color="auto"/>
              <w:left w:val="single" w:sz="4" w:space="0" w:color="auto"/>
              <w:bottom w:val="single" w:sz="4" w:space="0" w:color="auto"/>
              <w:right w:val="single" w:sz="4" w:space="0" w:color="auto"/>
            </w:tcBorders>
            <w:shd w:val="clear" w:color="000000" w:fill="FFFF52"/>
            <w:vAlign w:val="center"/>
          </w:tcPr>
          <w:p w:rsidR="00DC1467" w:rsidRDefault="00B70D3E">
            <w:pPr>
              <w:spacing w:line="240" w:lineRule="auto"/>
              <w:ind w:firstLine="0"/>
              <w:jc w:val="center"/>
              <w:rPr>
                <w:color w:val="000000"/>
                <w:sz w:val="23"/>
                <w:szCs w:val="23"/>
              </w:rPr>
            </w:pPr>
            <w:r>
              <w:rPr>
                <w:color w:val="000000"/>
                <w:sz w:val="23"/>
                <w:szCs w:val="23"/>
              </w:rPr>
              <w:t>35,3</w:t>
            </w:r>
          </w:p>
        </w:tc>
        <w:tc>
          <w:tcPr>
            <w:tcW w:w="1417" w:type="dxa"/>
            <w:tcBorders>
              <w:top w:val="single" w:sz="4" w:space="0" w:color="auto"/>
              <w:left w:val="single" w:sz="4" w:space="0" w:color="auto"/>
              <w:bottom w:val="single" w:sz="4" w:space="0" w:color="auto"/>
              <w:right w:val="single" w:sz="4" w:space="0" w:color="auto"/>
            </w:tcBorders>
            <w:shd w:val="clear" w:color="000000" w:fill="FF4B4B"/>
            <w:vAlign w:val="center"/>
          </w:tcPr>
          <w:p w:rsidR="00DC1467" w:rsidRDefault="00B70D3E">
            <w:pPr>
              <w:spacing w:line="240" w:lineRule="auto"/>
              <w:ind w:firstLine="0"/>
              <w:jc w:val="center"/>
              <w:rPr>
                <w:color w:val="000000"/>
                <w:sz w:val="23"/>
                <w:szCs w:val="23"/>
              </w:rPr>
            </w:pPr>
            <w:r>
              <w:rPr>
                <w:color w:val="000000"/>
                <w:sz w:val="23"/>
                <w:szCs w:val="23"/>
              </w:rPr>
              <w:t>96,2</w:t>
            </w:r>
          </w:p>
        </w:tc>
        <w:tc>
          <w:tcPr>
            <w:tcW w:w="1134"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11,9</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0,0</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18,3</w:t>
            </w:r>
          </w:p>
        </w:tc>
        <w:tc>
          <w:tcPr>
            <w:tcW w:w="1275" w:type="dxa"/>
            <w:tcBorders>
              <w:top w:val="single" w:sz="4" w:space="0" w:color="auto"/>
              <w:left w:val="single" w:sz="4" w:space="0" w:color="auto"/>
              <w:bottom w:val="single" w:sz="4" w:space="0" w:color="auto"/>
              <w:right w:val="single" w:sz="4" w:space="0" w:color="auto"/>
            </w:tcBorders>
            <w:shd w:val="clear" w:color="000000" w:fill="FFFF52"/>
            <w:vAlign w:val="center"/>
          </w:tcPr>
          <w:p w:rsidR="00DC1467" w:rsidRDefault="00B70D3E">
            <w:pPr>
              <w:spacing w:line="240" w:lineRule="auto"/>
              <w:ind w:firstLine="0"/>
              <w:jc w:val="center"/>
              <w:rPr>
                <w:b/>
                <w:bCs/>
                <w:color w:val="000000"/>
                <w:sz w:val="23"/>
                <w:szCs w:val="23"/>
              </w:rPr>
            </w:pPr>
            <w:r>
              <w:rPr>
                <w:b/>
                <w:bCs/>
                <w:color w:val="000000"/>
                <w:sz w:val="23"/>
                <w:szCs w:val="23"/>
              </w:rPr>
              <w:t>29,4</w:t>
            </w:r>
          </w:p>
        </w:tc>
      </w:tr>
      <w:tr w:rsidR="00DC1467">
        <w:trPr>
          <w:trHeight w:val="227"/>
        </w:trPr>
        <w:tc>
          <w:tcPr>
            <w:tcW w:w="3134" w:type="dxa"/>
            <w:tcBorders>
              <w:top w:val="none" w:sz="4" w:space="0" w:color="000000"/>
              <w:left w:val="single" w:sz="4" w:space="0" w:color="auto"/>
              <w:bottom w:val="single" w:sz="4" w:space="0" w:color="auto"/>
              <w:right w:val="single" w:sz="4" w:space="0" w:color="auto"/>
            </w:tcBorders>
            <w:shd w:val="clear" w:color="auto" w:fill="auto"/>
            <w:vAlign w:val="center"/>
          </w:tcPr>
          <w:p w:rsidR="00DC1467" w:rsidRDefault="00B70D3E">
            <w:pPr>
              <w:spacing w:line="240" w:lineRule="auto"/>
              <w:ind w:firstLine="0"/>
              <w:jc w:val="left"/>
              <w:rPr>
                <w:color w:val="000000"/>
                <w:sz w:val="23"/>
                <w:szCs w:val="23"/>
              </w:rPr>
            </w:pPr>
            <w:r>
              <w:rPr>
                <w:color w:val="000000"/>
                <w:sz w:val="23"/>
                <w:szCs w:val="23"/>
              </w:rPr>
              <w:t>г. Когалым</w:t>
            </w:r>
          </w:p>
        </w:tc>
        <w:tc>
          <w:tcPr>
            <w:tcW w:w="1417" w:type="dxa"/>
            <w:tcBorders>
              <w:top w:val="single" w:sz="4" w:space="0" w:color="auto"/>
              <w:left w:val="single" w:sz="4" w:space="0" w:color="auto"/>
              <w:bottom w:val="single" w:sz="4" w:space="0" w:color="auto"/>
              <w:right w:val="single" w:sz="4" w:space="0" w:color="auto"/>
            </w:tcBorders>
            <w:shd w:val="clear" w:color="000000" w:fill="FFFF52"/>
            <w:vAlign w:val="center"/>
          </w:tcPr>
          <w:p w:rsidR="00DC1467" w:rsidRDefault="00B70D3E">
            <w:pPr>
              <w:spacing w:line="240" w:lineRule="auto"/>
              <w:ind w:firstLine="0"/>
              <w:jc w:val="center"/>
              <w:rPr>
                <w:color w:val="000000"/>
                <w:sz w:val="23"/>
                <w:szCs w:val="23"/>
              </w:rPr>
            </w:pPr>
            <w:r>
              <w:rPr>
                <w:color w:val="000000"/>
                <w:sz w:val="23"/>
                <w:szCs w:val="23"/>
              </w:rPr>
              <w:t>46,0</w:t>
            </w:r>
          </w:p>
        </w:tc>
        <w:tc>
          <w:tcPr>
            <w:tcW w:w="1134"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16,0</w:t>
            </w:r>
          </w:p>
        </w:tc>
        <w:tc>
          <w:tcPr>
            <w:tcW w:w="1418" w:type="dxa"/>
            <w:tcBorders>
              <w:top w:val="single" w:sz="4" w:space="0" w:color="auto"/>
              <w:left w:val="single" w:sz="4" w:space="0" w:color="auto"/>
              <w:bottom w:val="single" w:sz="4" w:space="0" w:color="auto"/>
              <w:right w:val="single" w:sz="4" w:space="0" w:color="auto"/>
            </w:tcBorders>
            <w:shd w:val="clear" w:color="000000" w:fill="E28700"/>
            <w:vAlign w:val="center"/>
          </w:tcPr>
          <w:p w:rsidR="00DC1467" w:rsidRDefault="00B70D3E">
            <w:pPr>
              <w:spacing w:line="240" w:lineRule="auto"/>
              <w:ind w:firstLine="0"/>
              <w:jc w:val="center"/>
              <w:rPr>
                <w:color w:val="000000"/>
                <w:sz w:val="23"/>
                <w:szCs w:val="23"/>
              </w:rPr>
            </w:pPr>
            <w:r>
              <w:rPr>
                <w:color w:val="000000"/>
                <w:sz w:val="23"/>
                <w:szCs w:val="23"/>
              </w:rPr>
              <w:t>63,5</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16,0</w:t>
            </w:r>
          </w:p>
        </w:tc>
        <w:tc>
          <w:tcPr>
            <w:tcW w:w="1417" w:type="dxa"/>
            <w:tcBorders>
              <w:top w:val="single" w:sz="4" w:space="0" w:color="auto"/>
              <w:left w:val="single" w:sz="4" w:space="0" w:color="auto"/>
              <w:bottom w:val="single" w:sz="4" w:space="0" w:color="auto"/>
              <w:right w:val="single" w:sz="4" w:space="0" w:color="auto"/>
            </w:tcBorders>
            <w:shd w:val="clear" w:color="000000" w:fill="FFFF52"/>
            <w:vAlign w:val="center"/>
          </w:tcPr>
          <w:p w:rsidR="00DC1467" w:rsidRDefault="00B70D3E">
            <w:pPr>
              <w:spacing w:line="240" w:lineRule="auto"/>
              <w:ind w:firstLine="0"/>
              <w:jc w:val="center"/>
              <w:rPr>
                <w:color w:val="000000"/>
                <w:sz w:val="23"/>
                <w:szCs w:val="23"/>
              </w:rPr>
            </w:pPr>
            <w:r>
              <w:rPr>
                <w:color w:val="000000"/>
                <w:sz w:val="23"/>
                <w:szCs w:val="23"/>
              </w:rPr>
              <w:t>40,1</w:t>
            </w:r>
          </w:p>
        </w:tc>
        <w:tc>
          <w:tcPr>
            <w:tcW w:w="1134"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20,9</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0,0</w:t>
            </w:r>
          </w:p>
        </w:tc>
        <w:tc>
          <w:tcPr>
            <w:tcW w:w="1276" w:type="dxa"/>
            <w:tcBorders>
              <w:top w:val="single" w:sz="4" w:space="0" w:color="auto"/>
              <w:left w:val="single" w:sz="4" w:space="0" w:color="auto"/>
              <w:bottom w:val="single" w:sz="4" w:space="0" w:color="auto"/>
              <w:right w:val="single" w:sz="4" w:space="0" w:color="auto"/>
            </w:tcBorders>
            <w:shd w:val="clear" w:color="000000" w:fill="FFFF52"/>
            <w:vAlign w:val="center"/>
          </w:tcPr>
          <w:p w:rsidR="00DC1467" w:rsidRDefault="00B70D3E">
            <w:pPr>
              <w:spacing w:line="240" w:lineRule="auto"/>
              <w:ind w:firstLine="0"/>
              <w:jc w:val="center"/>
              <w:rPr>
                <w:color w:val="000000"/>
                <w:sz w:val="23"/>
                <w:szCs w:val="23"/>
              </w:rPr>
            </w:pPr>
            <w:r>
              <w:rPr>
                <w:color w:val="000000"/>
                <w:sz w:val="23"/>
                <w:szCs w:val="23"/>
              </w:rPr>
              <w:t>32,1</w:t>
            </w:r>
          </w:p>
        </w:tc>
        <w:tc>
          <w:tcPr>
            <w:tcW w:w="1275" w:type="dxa"/>
            <w:tcBorders>
              <w:top w:val="single" w:sz="4" w:space="0" w:color="auto"/>
              <w:left w:val="single" w:sz="4" w:space="0" w:color="auto"/>
              <w:bottom w:val="single" w:sz="4" w:space="0" w:color="auto"/>
              <w:right w:val="single" w:sz="4" w:space="0" w:color="auto"/>
            </w:tcBorders>
            <w:shd w:val="clear" w:color="000000" w:fill="FFFF52"/>
            <w:vAlign w:val="center"/>
          </w:tcPr>
          <w:p w:rsidR="00DC1467" w:rsidRDefault="00B70D3E">
            <w:pPr>
              <w:spacing w:line="240" w:lineRule="auto"/>
              <w:ind w:firstLine="0"/>
              <w:jc w:val="center"/>
              <w:rPr>
                <w:b/>
                <w:bCs/>
                <w:color w:val="000000"/>
                <w:sz w:val="23"/>
                <w:szCs w:val="23"/>
              </w:rPr>
            </w:pPr>
            <w:r>
              <w:rPr>
                <w:b/>
                <w:bCs/>
                <w:color w:val="000000"/>
                <w:sz w:val="23"/>
                <w:szCs w:val="23"/>
              </w:rPr>
              <w:t>29,3</w:t>
            </w:r>
          </w:p>
        </w:tc>
      </w:tr>
      <w:tr w:rsidR="00DC1467">
        <w:trPr>
          <w:trHeight w:val="227"/>
        </w:trPr>
        <w:tc>
          <w:tcPr>
            <w:tcW w:w="3134" w:type="dxa"/>
            <w:tcBorders>
              <w:top w:val="none" w:sz="4" w:space="0" w:color="000000"/>
              <w:left w:val="single" w:sz="4" w:space="0" w:color="auto"/>
              <w:bottom w:val="single" w:sz="4" w:space="0" w:color="auto"/>
              <w:right w:val="single" w:sz="4" w:space="0" w:color="auto"/>
            </w:tcBorders>
            <w:shd w:val="clear" w:color="auto" w:fill="auto"/>
            <w:vAlign w:val="center"/>
          </w:tcPr>
          <w:p w:rsidR="00DC1467" w:rsidRDefault="00B70D3E">
            <w:pPr>
              <w:spacing w:line="240" w:lineRule="auto"/>
              <w:ind w:firstLine="0"/>
              <w:jc w:val="left"/>
              <w:rPr>
                <w:color w:val="000000"/>
                <w:sz w:val="23"/>
                <w:szCs w:val="23"/>
              </w:rPr>
            </w:pPr>
            <w:r>
              <w:rPr>
                <w:color w:val="000000"/>
                <w:sz w:val="23"/>
                <w:szCs w:val="23"/>
              </w:rPr>
              <w:t>г. Лангепас</w:t>
            </w:r>
          </w:p>
        </w:tc>
        <w:tc>
          <w:tcPr>
            <w:tcW w:w="1417" w:type="dxa"/>
            <w:tcBorders>
              <w:top w:val="single" w:sz="4" w:space="0" w:color="auto"/>
              <w:left w:val="single" w:sz="4" w:space="0" w:color="auto"/>
              <w:bottom w:val="single" w:sz="4" w:space="0" w:color="auto"/>
              <w:right w:val="single" w:sz="4" w:space="0" w:color="auto"/>
            </w:tcBorders>
            <w:shd w:val="clear" w:color="000000" w:fill="FFFF52"/>
            <w:vAlign w:val="center"/>
          </w:tcPr>
          <w:p w:rsidR="00DC1467" w:rsidRDefault="00B70D3E">
            <w:pPr>
              <w:spacing w:line="240" w:lineRule="auto"/>
              <w:ind w:firstLine="0"/>
              <w:jc w:val="center"/>
              <w:rPr>
                <w:color w:val="000000"/>
                <w:sz w:val="23"/>
                <w:szCs w:val="23"/>
              </w:rPr>
            </w:pPr>
            <w:r>
              <w:rPr>
                <w:color w:val="000000"/>
                <w:sz w:val="23"/>
                <w:szCs w:val="23"/>
              </w:rPr>
              <w:t>37,2</w:t>
            </w:r>
          </w:p>
        </w:tc>
        <w:tc>
          <w:tcPr>
            <w:tcW w:w="1134" w:type="dxa"/>
            <w:tcBorders>
              <w:top w:val="single" w:sz="4" w:space="0" w:color="auto"/>
              <w:left w:val="single" w:sz="4" w:space="0" w:color="auto"/>
              <w:bottom w:val="single" w:sz="4" w:space="0" w:color="auto"/>
              <w:right w:val="single" w:sz="4" w:space="0" w:color="auto"/>
            </w:tcBorders>
            <w:shd w:val="clear" w:color="000000" w:fill="FF4B4B"/>
            <w:vAlign w:val="center"/>
          </w:tcPr>
          <w:p w:rsidR="00DC1467" w:rsidRDefault="00B70D3E">
            <w:pPr>
              <w:spacing w:line="240" w:lineRule="auto"/>
              <w:ind w:firstLine="0"/>
              <w:jc w:val="center"/>
              <w:rPr>
                <w:color w:val="000000"/>
                <w:sz w:val="23"/>
                <w:szCs w:val="23"/>
              </w:rPr>
            </w:pPr>
            <w:r>
              <w:rPr>
                <w:color w:val="000000"/>
                <w:sz w:val="23"/>
                <w:szCs w:val="23"/>
              </w:rPr>
              <w:t>100,0</w:t>
            </w:r>
          </w:p>
        </w:tc>
        <w:tc>
          <w:tcPr>
            <w:tcW w:w="1418" w:type="dxa"/>
            <w:tcBorders>
              <w:top w:val="single" w:sz="4" w:space="0" w:color="auto"/>
              <w:left w:val="single" w:sz="4" w:space="0" w:color="auto"/>
              <w:bottom w:val="single" w:sz="4" w:space="0" w:color="auto"/>
              <w:right w:val="single" w:sz="4" w:space="0" w:color="auto"/>
            </w:tcBorders>
            <w:shd w:val="clear" w:color="000000" w:fill="FFFF52"/>
            <w:vAlign w:val="center"/>
          </w:tcPr>
          <w:p w:rsidR="00DC1467" w:rsidRDefault="00B70D3E">
            <w:pPr>
              <w:spacing w:line="240" w:lineRule="auto"/>
              <w:ind w:firstLine="0"/>
              <w:jc w:val="center"/>
              <w:rPr>
                <w:color w:val="000000"/>
                <w:sz w:val="23"/>
                <w:szCs w:val="23"/>
              </w:rPr>
            </w:pPr>
            <w:r>
              <w:rPr>
                <w:color w:val="000000"/>
                <w:sz w:val="23"/>
                <w:szCs w:val="23"/>
              </w:rPr>
              <w:t>41,1</w:t>
            </w:r>
          </w:p>
        </w:tc>
        <w:tc>
          <w:tcPr>
            <w:tcW w:w="1276" w:type="dxa"/>
            <w:tcBorders>
              <w:top w:val="single" w:sz="4" w:space="0" w:color="auto"/>
              <w:left w:val="single" w:sz="4" w:space="0" w:color="auto"/>
              <w:bottom w:val="single" w:sz="4" w:space="0" w:color="auto"/>
              <w:right w:val="single" w:sz="4" w:space="0" w:color="auto"/>
            </w:tcBorders>
            <w:shd w:val="clear" w:color="000000" w:fill="FF4B4B"/>
            <w:vAlign w:val="center"/>
          </w:tcPr>
          <w:p w:rsidR="00DC1467" w:rsidRDefault="00B70D3E">
            <w:pPr>
              <w:spacing w:line="240" w:lineRule="auto"/>
              <w:ind w:firstLine="0"/>
              <w:jc w:val="center"/>
              <w:rPr>
                <w:color w:val="000000"/>
                <w:sz w:val="23"/>
                <w:szCs w:val="23"/>
              </w:rPr>
            </w:pPr>
            <w:r>
              <w:rPr>
                <w:color w:val="000000"/>
                <w:sz w:val="23"/>
                <w:szCs w:val="23"/>
              </w:rPr>
              <w:t>100,0</w:t>
            </w:r>
          </w:p>
        </w:tc>
        <w:tc>
          <w:tcPr>
            <w:tcW w:w="1417" w:type="dxa"/>
            <w:tcBorders>
              <w:top w:val="single" w:sz="4" w:space="0" w:color="auto"/>
              <w:left w:val="single" w:sz="4" w:space="0" w:color="auto"/>
              <w:bottom w:val="single" w:sz="4" w:space="0" w:color="auto"/>
              <w:right w:val="single" w:sz="4" w:space="0" w:color="auto"/>
            </w:tcBorders>
            <w:shd w:val="clear" w:color="000000" w:fill="E28700"/>
            <w:vAlign w:val="center"/>
          </w:tcPr>
          <w:p w:rsidR="00DC1467" w:rsidRDefault="00B70D3E">
            <w:pPr>
              <w:spacing w:line="240" w:lineRule="auto"/>
              <w:ind w:firstLine="0"/>
              <w:jc w:val="center"/>
              <w:rPr>
                <w:color w:val="000000"/>
                <w:sz w:val="23"/>
                <w:szCs w:val="23"/>
              </w:rPr>
            </w:pPr>
            <w:r>
              <w:rPr>
                <w:color w:val="000000"/>
                <w:sz w:val="23"/>
                <w:szCs w:val="23"/>
              </w:rPr>
              <w:t>69,5</w:t>
            </w:r>
          </w:p>
        </w:tc>
        <w:tc>
          <w:tcPr>
            <w:tcW w:w="1134"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15,1</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0,0</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23,2</w:t>
            </w:r>
          </w:p>
        </w:tc>
        <w:tc>
          <w:tcPr>
            <w:tcW w:w="1275" w:type="dxa"/>
            <w:tcBorders>
              <w:top w:val="single" w:sz="4" w:space="0" w:color="auto"/>
              <w:left w:val="single" w:sz="4" w:space="0" w:color="auto"/>
              <w:bottom w:val="single" w:sz="4" w:space="0" w:color="auto"/>
              <w:right w:val="single" w:sz="4" w:space="0" w:color="auto"/>
            </w:tcBorders>
            <w:shd w:val="clear" w:color="000000" w:fill="FFFF52"/>
            <w:vAlign w:val="center"/>
          </w:tcPr>
          <w:p w:rsidR="00DC1467" w:rsidRDefault="00B70D3E">
            <w:pPr>
              <w:spacing w:line="240" w:lineRule="auto"/>
              <w:ind w:firstLine="0"/>
              <w:jc w:val="center"/>
              <w:rPr>
                <w:b/>
                <w:bCs/>
                <w:color w:val="000000"/>
                <w:sz w:val="23"/>
                <w:szCs w:val="23"/>
              </w:rPr>
            </w:pPr>
            <w:r>
              <w:rPr>
                <w:b/>
                <w:bCs/>
                <w:color w:val="000000"/>
                <w:sz w:val="23"/>
                <w:szCs w:val="23"/>
              </w:rPr>
              <w:t>48,3</w:t>
            </w:r>
          </w:p>
        </w:tc>
      </w:tr>
      <w:tr w:rsidR="00DC1467">
        <w:trPr>
          <w:trHeight w:val="227"/>
        </w:trPr>
        <w:tc>
          <w:tcPr>
            <w:tcW w:w="3134" w:type="dxa"/>
            <w:tcBorders>
              <w:top w:val="none" w:sz="4" w:space="0" w:color="000000"/>
              <w:left w:val="single" w:sz="4" w:space="0" w:color="auto"/>
              <w:bottom w:val="single" w:sz="4" w:space="0" w:color="auto"/>
              <w:right w:val="single" w:sz="4" w:space="0" w:color="auto"/>
            </w:tcBorders>
            <w:shd w:val="clear" w:color="auto" w:fill="auto"/>
            <w:vAlign w:val="center"/>
          </w:tcPr>
          <w:p w:rsidR="00DC1467" w:rsidRDefault="00B70D3E">
            <w:pPr>
              <w:spacing w:line="240" w:lineRule="auto"/>
              <w:ind w:firstLine="0"/>
              <w:jc w:val="left"/>
              <w:rPr>
                <w:color w:val="000000"/>
                <w:sz w:val="23"/>
                <w:szCs w:val="23"/>
              </w:rPr>
            </w:pPr>
            <w:r>
              <w:rPr>
                <w:color w:val="000000"/>
                <w:sz w:val="23"/>
                <w:szCs w:val="23"/>
              </w:rPr>
              <w:t>г. Мегион</w:t>
            </w:r>
          </w:p>
        </w:tc>
        <w:tc>
          <w:tcPr>
            <w:tcW w:w="1417" w:type="dxa"/>
            <w:tcBorders>
              <w:top w:val="single" w:sz="4" w:space="0" w:color="auto"/>
              <w:left w:val="single" w:sz="4" w:space="0" w:color="auto"/>
              <w:bottom w:val="single" w:sz="4" w:space="0" w:color="auto"/>
              <w:right w:val="single" w:sz="4" w:space="0" w:color="auto"/>
            </w:tcBorders>
            <w:shd w:val="clear" w:color="000000" w:fill="E28700"/>
            <w:vAlign w:val="center"/>
          </w:tcPr>
          <w:p w:rsidR="00DC1467" w:rsidRDefault="00B70D3E">
            <w:pPr>
              <w:spacing w:line="240" w:lineRule="auto"/>
              <w:ind w:firstLine="0"/>
              <w:jc w:val="center"/>
              <w:rPr>
                <w:color w:val="000000"/>
                <w:sz w:val="23"/>
                <w:szCs w:val="23"/>
              </w:rPr>
            </w:pPr>
            <w:r>
              <w:rPr>
                <w:color w:val="000000"/>
                <w:sz w:val="23"/>
                <w:szCs w:val="23"/>
              </w:rPr>
              <w:t>69,5</w:t>
            </w:r>
          </w:p>
        </w:tc>
        <w:tc>
          <w:tcPr>
            <w:tcW w:w="1134"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9,0</w:t>
            </w:r>
          </w:p>
        </w:tc>
        <w:tc>
          <w:tcPr>
            <w:tcW w:w="1418" w:type="dxa"/>
            <w:tcBorders>
              <w:top w:val="single" w:sz="4" w:space="0" w:color="auto"/>
              <w:left w:val="single" w:sz="4" w:space="0" w:color="auto"/>
              <w:bottom w:val="single" w:sz="4" w:space="0" w:color="auto"/>
              <w:right w:val="single" w:sz="4" w:space="0" w:color="auto"/>
            </w:tcBorders>
            <w:shd w:val="clear" w:color="000000" w:fill="E28700"/>
            <w:vAlign w:val="center"/>
          </w:tcPr>
          <w:p w:rsidR="00DC1467" w:rsidRDefault="00B70D3E">
            <w:pPr>
              <w:spacing w:line="240" w:lineRule="auto"/>
              <w:ind w:firstLine="0"/>
              <w:jc w:val="center"/>
              <w:rPr>
                <w:color w:val="000000"/>
                <w:sz w:val="23"/>
                <w:szCs w:val="23"/>
              </w:rPr>
            </w:pPr>
            <w:r>
              <w:rPr>
                <w:color w:val="000000"/>
                <w:sz w:val="23"/>
                <w:szCs w:val="23"/>
              </w:rPr>
              <w:t>70,0</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0,0</w:t>
            </w:r>
          </w:p>
        </w:tc>
        <w:tc>
          <w:tcPr>
            <w:tcW w:w="1417" w:type="dxa"/>
            <w:tcBorders>
              <w:top w:val="single" w:sz="4" w:space="0" w:color="auto"/>
              <w:left w:val="single" w:sz="4" w:space="0" w:color="auto"/>
              <w:bottom w:val="single" w:sz="4" w:space="0" w:color="auto"/>
              <w:right w:val="single" w:sz="4" w:space="0" w:color="auto"/>
            </w:tcBorders>
            <w:shd w:val="clear" w:color="000000" w:fill="FFFF52"/>
            <w:vAlign w:val="center"/>
          </w:tcPr>
          <w:p w:rsidR="00DC1467" w:rsidRDefault="00B70D3E">
            <w:pPr>
              <w:spacing w:line="240" w:lineRule="auto"/>
              <w:ind w:firstLine="0"/>
              <w:jc w:val="center"/>
              <w:rPr>
                <w:color w:val="000000"/>
                <w:sz w:val="23"/>
                <w:szCs w:val="23"/>
              </w:rPr>
            </w:pPr>
            <w:r>
              <w:rPr>
                <w:color w:val="000000"/>
                <w:sz w:val="23"/>
                <w:szCs w:val="23"/>
              </w:rPr>
              <w:t>42,7</w:t>
            </w:r>
          </w:p>
        </w:tc>
        <w:tc>
          <w:tcPr>
            <w:tcW w:w="1134" w:type="dxa"/>
            <w:tcBorders>
              <w:top w:val="single" w:sz="4" w:space="0" w:color="auto"/>
              <w:left w:val="single" w:sz="4" w:space="0" w:color="auto"/>
              <w:bottom w:val="single" w:sz="4" w:space="0" w:color="auto"/>
              <w:right w:val="single" w:sz="4" w:space="0" w:color="auto"/>
            </w:tcBorders>
            <w:shd w:val="clear" w:color="000000" w:fill="FF4B4B"/>
            <w:vAlign w:val="center"/>
          </w:tcPr>
          <w:p w:rsidR="00DC1467" w:rsidRDefault="00B70D3E">
            <w:pPr>
              <w:spacing w:line="240" w:lineRule="auto"/>
              <w:ind w:firstLine="0"/>
              <w:jc w:val="center"/>
              <w:rPr>
                <w:color w:val="000000"/>
                <w:sz w:val="23"/>
                <w:szCs w:val="23"/>
              </w:rPr>
            </w:pPr>
            <w:r>
              <w:rPr>
                <w:color w:val="000000"/>
                <w:sz w:val="23"/>
                <w:szCs w:val="23"/>
              </w:rPr>
              <w:t>100,0</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0,0</w:t>
            </w:r>
          </w:p>
        </w:tc>
        <w:tc>
          <w:tcPr>
            <w:tcW w:w="1276" w:type="dxa"/>
            <w:tcBorders>
              <w:top w:val="single" w:sz="4" w:space="0" w:color="auto"/>
              <w:left w:val="single" w:sz="4" w:space="0" w:color="auto"/>
              <w:bottom w:val="single" w:sz="4" w:space="0" w:color="auto"/>
              <w:right w:val="single" w:sz="4" w:space="0" w:color="auto"/>
            </w:tcBorders>
            <w:shd w:val="clear" w:color="000000" w:fill="FF4B4B"/>
            <w:vAlign w:val="center"/>
          </w:tcPr>
          <w:p w:rsidR="00DC1467" w:rsidRDefault="00B70D3E">
            <w:pPr>
              <w:spacing w:line="240" w:lineRule="auto"/>
              <w:ind w:firstLine="0"/>
              <w:jc w:val="center"/>
              <w:rPr>
                <w:color w:val="000000"/>
                <w:sz w:val="23"/>
                <w:szCs w:val="23"/>
              </w:rPr>
            </w:pPr>
            <w:r>
              <w:rPr>
                <w:color w:val="000000"/>
                <w:sz w:val="23"/>
                <w:szCs w:val="23"/>
              </w:rPr>
              <w:t>85,3</w:t>
            </w:r>
          </w:p>
        </w:tc>
        <w:tc>
          <w:tcPr>
            <w:tcW w:w="1275" w:type="dxa"/>
            <w:tcBorders>
              <w:top w:val="single" w:sz="4" w:space="0" w:color="auto"/>
              <w:left w:val="single" w:sz="4" w:space="0" w:color="auto"/>
              <w:bottom w:val="single" w:sz="4" w:space="0" w:color="auto"/>
              <w:right w:val="single" w:sz="4" w:space="0" w:color="auto"/>
            </w:tcBorders>
            <w:shd w:val="clear" w:color="000000" w:fill="FFFF52"/>
            <w:vAlign w:val="center"/>
          </w:tcPr>
          <w:p w:rsidR="00DC1467" w:rsidRDefault="00B70D3E">
            <w:pPr>
              <w:spacing w:line="240" w:lineRule="auto"/>
              <w:ind w:firstLine="0"/>
              <w:jc w:val="center"/>
              <w:rPr>
                <w:b/>
                <w:bCs/>
                <w:color w:val="000000"/>
                <w:sz w:val="23"/>
                <w:szCs w:val="23"/>
              </w:rPr>
            </w:pPr>
            <w:r>
              <w:rPr>
                <w:b/>
                <w:bCs/>
                <w:color w:val="000000"/>
                <w:sz w:val="23"/>
                <w:szCs w:val="23"/>
              </w:rPr>
              <w:t>47,1</w:t>
            </w:r>
          </w:p>
        </w:tc>
      </w:tr>
      <w:tr w:rsidR="00DC1467">
        <w:trPr>
          <w:trHeight w:val="227"/>
        </w:trPr>
        <w:tc>
          <w:tcPr>
            <w:tcW w:w="3134" w:type="dxa"/>
            <w:tcBorders>
              <w:top w:val="none" w:sz="4" w:space="0" w:color="000000"/>
              <w:left w:val="single" w:sz="4" w:space="0" w:color="auto"/>
              <w:bottom w:val="single" w:sz="4" w:space="0" w:color="auto"/>
              <w:right w:val="single" w:sz="4" w:space="0" w:color="auto"/>
            </w:tcBorders>
            <w:shd w:val="clear" w:color="auto" w:fill="auto"/>
            <w:vAlign w:val="center"/>
          </w:tcPr>
          <w:p w:rsidR="00DC1467" w:rsidRDefault="00B70D3E">
            <w:pPr>
              <w:spacing w:line="240" w:lineRule="auto"/>
              <w:ind w:firstLine="0"/>
              <w:jc w:val="left"/>
              <w:rPr>
                <w:color w:val="000000"/>
                <w:sz w:val="23"/>
                <w:szCs w:val="23"/>
              </w:rPr>
            </w:pPr>
            <w:r>
              <w:rPr>
                <w:color w:val="000000"/>
                <w:sz w:val="23"/>
                <w:szCs w:val="23"/>
              </w:rPr>
              <w:t>г. Нефтеюганск</w:t>
            </w:r>
          </w:p>
        </w:tc>
        <w:tc>
          <w:tcPr>
            <w:tcW w:w="1417"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11,9</w:t>
            </w:r>
          </w:p>
        </w:tc>
        <w:tc>
          <w:tcPr>
            <w:tcW w:w="1134"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8,9</w:t>
            </w:r>
          </w:p>
        </w:tc>
        <w:tc>
          <w:tcPr>
            <w:tcW w:w="1418"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8,4</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8,9</w:t>
            </w:r>
          </w:p>
        </w:tc>
        <w:tc>
          <w:tcPr>
            <w:tcW w:w="1417" w:type="dxa"/>
            <w:tcBorders>
              <w:top w:val="single" w:sz="4" w:space="0" w:color="auto"/>
              <w:left w:val="single" w:sz="4" w:space="0" w:color="auto"/>
              <w:bottom w:val="single" w:sz="4" w:space="0" w:color="auto"/>
              <w:right w:val="single" w:sz="4" w:space="0" w:color="auto"/>
            </w:tcBorders>
            <w:shd w:val="clear" w:color="000000" w:fill="FFFF52"/>
            <w:vAlign w:val="center"/>
          </w:tcPr>
          <w:p w:rsidR="00DC1467" w:rsidRDefault="00B70D3E">
            <w:pPr>
              <w:spacing w:line="240" w:lineRule="auto"/>
              <w:ind w:firstLine="0"/>
              <w:jc w:val="center"/>
              <w:rPr>
                <w:color w:val="000000"/>
                <w:sz w:val="23"/>
                <w:szCs w:val="23"/>
              </w:rPr>
            </w:pPr>
            <w:r>
              <w:rPr>
                <w:color w:val="000000"/>
                <w:sz w:val="23"/>
                <w:szCs w:val="23"/>
              </w:rPr>
              <w:t>28,2</w:t>
            </w:r>
          </w:p>
        </w:tc>
        <w:tc>
          <w:tcPr>
            <w:tcW w:w="1134"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10,5</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0,0</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16,1</w:t>
            </w:r>
          </w:p>
        </w:tc>
        <w:tc>
          <w:tcPr>
            <w:tcW w:w="1275"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b/>
                <w:bCs/>
                <w:color w:val="000000"/>
                <w:sz w:val="23"/>
                <w:szCs w:val="23"/>
              </w:rPr>
            </w:pPr>
            <w:r>
              <w:rPr>
                <w:b/>
                <w:bCs/>
                <w:color w:val="000000"/>
                <w:sz w:val="23"/>
                <w:szCs w:val="23"/>
              </w:rPr>
              <w:t>11,6</w:t>
            </w:r>
          </w:p>
        </w:tc>
      </w:tr>
      <w:tr w:rsidR="00DC1467">
        <w:trPr>
          <w:trHeight w:val="227"/>
        </w:trPr>
        <w:tc>
          <w:tcPr>
            <w:tcW w:w="3134" w:type="dxa"/>
            <w:tcBorders>
              <w:top w:val="none" w:sz="4" w:space="0" w:color="000000"/>
              <w:left w:val="single" w:sz="4" w:space="0" w:color="auto"/>
              <w:bottom w:val="single" w:sz="4" w:space="0" w:color="auto"/>
              <w:right w:val="single" w:sz="4" w:space="0" w:color="auto"/>
            </w:tcBorders>
            <w:shd w:val="clear" w:color="auto" w:fill="auto"/>
            <w:vAlign w:val="center"/>
          </w:tcPr>
          <w:p w:rsidR="00DC1467" w:rsidRDefault="00B70D3E">
            <w:pPr>
              <w:spacing w:line="240" w:lineRule="auto"/>
              <w:ind w:firstLine="0"/>
              <w:jc w:val="left"/>
              <w:rPr>
                <w:color w:val="000000"/>
                <w:sz w:val="23"/>
                <w:szCs w:val="23"/>
              </w:rPr>
            </w:pPr>
            <w:r>
              <w:rPr>
                <w:color w:val="000000"/>
                <w:sz w:val="23"/>
                <w:szCs w:val="23"/>
              </w:rPr>
              <w:t>г. Нижневартовск</w:t>
            </w:r>
          </w:p>
        </w:tc>
        <w:tc>
          <w:tcPr>
            <w:tcW w:w="1417" w:type="dxa"/>
            <w:tcBorders>
              <w:top w:val="single" w:sz="4" w:space="0" w:color="auto"/>
              <w:left w:val="single" w:sz="4" w:space="0" w:color="auto"/>
              <w:bottom w:val="single" w:sz="4" w:space="0" w:color="auto"/>
              <w:right w:val="single" w:sz="4" w:space="0" w:color="auto"/>
            </w:tcBorders>
            <w:shd w:val="clear" w:color="000000" w:fill="E28700"/>
            <w:vAlign w:val="center"/>
          </w:tcPr>
          <w:p w:rsidR="00DC1467" w:rsidRDefault="00B70D3E">
            <w:pPr>
              <w:spacing w:line="240" w:lineRule="auto"/>
              <w:ind w:firstLine="0"/>
              <w:jc w:val="center"/>
              <w:rPr>
                <w:color w:val="000000"/>
                <w:sz w:val="23"/>
                <w:szCs w:val="23"/>
              </w:rPr>
            </w:pPr>
            <w:r>
              <w:rPr>
                <w:color w:val="000000"/>
                <w:sz w:val="23"/>
                <w:szCs w:val="23"/>
              </w:rPr>
              <w:t>55,9</w:t>
            </w:r>
          </w:p>
        </w:tc>
        <w:tc>
          <w:tcPr>
            <w:tcW w:w="1134"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16,9</w:t>
            </w:r>
          </w:p>
        </w:tc>
        <w:tc>
          <w:tcPr>
            <w:tcW w:w="1418" w:type="dxa"/>
            <w:tcBorders>
              <w:top w:val="single" w:sz="4" w:space="0" w:color="auto"/>
              <w:left w:val="single" w:sz="4" w:space="0" w:color="auto"/>
              <w:bottom w:val="single" w:sz="4" w:space="0" w:color="auto"/>
              <w:right w:val="single" w:sz="4" w:space="0" w:color="auto"/>
            </w:tcBorders>
            <w:shd w:val="clear" w:color="000000" w:fill="E28700"/>
            <w:vAlign w:val="center"/>
          </w:tcPr>
          <w:p w:rsidR="00DC1467" w:rsidRDefault="00B70D3E">
            <w:pPr>
              <w:spacing w:line="240" w:lineRule="auto"/>
              <w:ind w:firstLine="0"/>
              <w:jc w:val="center"/>
              <w:rPr>
                <w:color w:val="000000"/>
                <w:sz w:val="23"/>
                <w:szCs w:val="23"/>
              </w:rPr>
            </w:pPr>
            <w:r>
              <w:rPr>
                <w:color w:val="000000"/>
                <w:sz w:val="23"/>
                <w:szCs w:val="23"/>
              </w:rPr>
              <w:t>52,1</w:t>
            </w:r>
          </w:p>
        </w:tc>
        <w:tc>
          <w:tcPr>
            <w:tcW w:w="1276" w:type="dxa"/>
            <w:tcBorders>
              <w:top w:val="single" w:sz="4" w:space="0" w:color="auto"/>
              <w:left w:val="single" w:sz="4" w:space="0" w:color="auto"/>
              <w:bottom w:val="single" w:sz="4" w:space="0" w:color="auto"/>
              <w:right w:val="single" w:sz="4" w:space="0" w:color="auto"/>
            </w:tcBorders>
            <w:shd w:val="clear" w:color="000000" w:fill="FFFF52"/>
            <w:vAlign w:val="center"/>
          </w:tcPr>
          <w:p w:rsidR="00DC1467" w:rsidRDefault="00B70D3E">
            <w:pPr>
              <w:spacing w:line="240" w:lineRule="auto"/>
              <w:ind w:firstLine="0"/>
              <w:jc w:val="center"/>
              <w:rPr>
                <w:color w:val="000000"/>
                <w:sz w:val="23"/>
                <w:szCs w:val="23"/>
              </w:rPr>
            </w:pPr>
            <w:r>
              <w:rPr>
                <w:color w:val="000000"/>
                <w:sz w:val="23"/>
                <w:szCs w:val="23"/>
              </w:rPr>
              <w:t>26,2</w:t>
            </w:r>
          </w:p>
        </w:tc>
        <w:tc>
          <w:tcPr>
            <w:tcW w:w="1417" w:type="dxa"/>
            <w:tcBorders>
              <w:top w:val="single" w:sz="4" w:space="0" w:color="auto"/>
              <w:left w:val="single" w:sz="4" w:space="0" w:color="auto"/>
              <w:bottom w:val="single" w:sz="4" w:space="0" w:color="auto"/>
              <w:right w:val="single" w:sz="4" w:space="0" w:color="auto"/>
            </w:tcBorders>
            <w:shd w:val="clear" w:color="000000" w:fill="E28700"/>
            <w:vAlign w:val="center"/>
          </w:tcPr>
          <w:p w:rsidR="00DC1467" w:rsidRDefault="00B70D3E">
            <w:pPr>
              <w:spacing w:line="240" w:lineRule="auto"/>
              <w:ind w:firstLine="0"/>
              <w:jc w:val="center"/>
              <w:rPr>
                <w:color w:val="000000"/>
                <w:sz w:val="23"/>
                <w:szCs w:val="23"/>
              </w:rPr>
            </w:pPr>
            <w:r>
              <w:rPr>
                <w:color w:val="000000"/>
                <w:sz w:val="23"/>
                <w:szCs w:val="23"/>
              </w:rPr>
              <w:t>52,7</w:t>
            </w:r>
          </w:p>
        </w:tc>
        <w:tc>
          <w:tcPr>
            <w:tcW w:w="1134" w:type="dxa"/>
            <w:tcBorders>
              <w:top w:val="single" w:sz="4" w:space="0" w:color="auto"/>
              <w:left w:val="single" w:sz="4" w:space="0" w:color="auto"/>
              <w:bottom w:val="single" w:sz="4" w:space="0" w:color="auto"/>
              <w:right w:val="single" w:sz="4" w:space="0" w:color="auto"/>
            </w:tcBorders>
            <w:shd w:val="clear" w:color="000000" w:fill="E28700"/>
            <w:vAlign w:val="center"/>
          </w:tcPr>
          <w:p w:rsidR="00DC1467" w:rsidRDefault="00B70D3E">
            <w:pPr>
              <w:spacing w:line="240" w:lineRule="auto"/>
              <w:ind w:firstLine="0"/>
              <w:jc w:val="center"/>
              <w:rPr>
                <w:color w:val="000000"/>
                <w:sz w:val="23"/>
                <w:szCs w:val="23"/>
              </w:rPr>
            </w:pPr>
            <w:r>
              <w:rPr>
                <w:color w:val="000000"/>
                <w:sz w:val="23"/>
                <w:szCs w:val="23"/>
              </w:rPr>
              <w:t>66,3</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0,0</w:t>
            </w:r>
          </w:p>
        </w:tc>
        <w:tc>
          <w:tcPr>
            <w:tcW w:w="1276" w:type="dxa"/>
            <w:tcBorders>
              <w:top w:val="single" w:sz="4" w:space="0" w:color="auto"/>
              <w:left w:val="single" w:sz="4" w:space="0" w:color="auto"/>
              <w:bottom w:val="single" w:sz="4" w:space="0" w:color="auto"/>
              <w:right w:val="single" w:sz="4" w:space="0" w:color="auto"/>
            </w:tcBorders>
            <w:shd w:val="clear" w:color="000000" w:fill="FFFF52"/>
            <w:vAlign w:val="center"/>
          </w:tcPr>
          <w:p w:rsidR="00DC1467" w:rsidRDefault="00B70D3E">
            <w:pPr>
              <w:spacing w:line="240" w:lineRule="auto"/>
              <w:ind w:firstLine="0"/>
              <w:jc w:val="center"/>
              <w:rPr>
                <w:color w:val="000000"/>
                <w:sz w:val="23"/>
                <w:szCs w:val="23"/>
              </w:rPr>
            </w:pPr>
            <w:r>
              <w:rPr>
                <w:color w:val="000000"/>
                <w:sz w:val="23"/>
                <w:szCs w:val="23"/>
              </w:rPr>
              <w:t>42,2</w:t>
            </w:r>
          </w:p>
        </w:tc>
        <w:tc>
          <w:tcPr>
            <w:tcW w:w="1275" w:type="dxa"/>
            <w:tcBorders>
              <w:top w:val="single" w:sz="4" w:space="0" w:color="auto"/>
              <w:left w:val="single" w:sz="4" w:space="0" w:color="auto"/>
              <w:bottom w:val="single" w:sz="4" w:space="0" w:color="auto"/>
              <w:right w:val="single" w:sz="4" w:space="0" w:color="auto"/>
            </w:tcBorders>
            <w:shd w:val="clear" w:color="000000" w:fill="FFFF52"/>
            <w:vAlign w:val="center"/>
          </w:tcPr>
          <w:p w:rsidR="00DC1467" w:rsidRDefault="00B70D3E">
            <w:pPr>
              <w:spacing w:line="240" w:lineRule="auto"/>
              <w:ind w:firstLine="0"/>
              <w:jc w:val="center"/>
              <w:rPr>
                <w:b/>
                <w:bCs/>
                <w:color w:val="000000"/>
                <w:sz w:val="23"/>
                <w:szCs w:val="23"/>
              </w:rPr>
            </w:pPr>
            <w:r>
              <w:rPr>
                <w:b/>
                <w:bCs/>
                <w:color w:val="000000"/>
                <w:sz w:val="23"/>
                <w:szCs w:val="23"/>
              </w:rPr>
              <w:t>39,0</w:t>
            </w:r>
          </w:p>
        </w:tc>
      </w:tr>
      <w:tr w:rsidR="00DC1467">
        <w:trPr>
          <w:trHeight w:val="227"/>
        </w:trPr>
        <w:tc>
          <w:tcPr>
            <w:tcW w:w="3134" w:type="dxa"/>
            <w:tcBorders>
              <w:top w:val="none" w:sz="4" w:space="0" w:color="000000"/>
              <w:left w:val="single" w:sz="4" w:space="0" w:color="auto"/>
              <w:bottom w:val="single" w:sz="4" w:space="0" w:color="auto"/>
              <w:right w:val="single" w:sz="4" w:space="0" w:color="auto"/>
            </w:tcBorders>
            <w:shd w:val="clear" w:color="auto" w:fill="auto"/>
            <w:vAlign w:val="center"/>
          </w:tcPr>
          <w:p w:rsidR="00DC1467" w:rsidRDefault="00B70D3E">
            <w:pPr>
              <w:spacing w:line="240" w:lineRule="auto"/>
              <w:ind w:firstLine="0"/>
              <w:jc w:val="left"/>
              <w:rPr>
                <w:color w:val="000000"/>
                <w:sz w:val="23"/>
                <w:szCs w:val="23"/>
              </w:rPr>
            </w:pPr>
            <w:r>
              <w:rPr>
                <w:color w:val="000000"/>
                <w:sz w:val="23"/>
                <w:szCs w:val="23"/>
              </w:rPr>
              <w:t>г. Нягань</w:t>
            </w:r>
          </w:p>
        </w:tc>
        <w:tc>
          <w:tcPr>
            <w:tcW w:w="1417" w:type="dxa"/>
            <w:tcBorders>
              <w:top w:val="single" w:sz="4" w:space="0" w:color="auto"/>
              <w:left w:val="single" w:sz="4" w:space="0" w:color="auto"/>
              <w:bottom w:val="single" w:sz="4" w:space="0" w:color="auto"/>
              <w:right w:val="single" w:sz="4" w:space="0" w:color="auto"/>
            </w:tcBorders>
            <w:shd w:val="clear" w:color="000000" w:fill="E28700"/>
            <w:vAlign w:val="center"/>
          </w:tcPr>
          <w:p w:rsidR="00DC1467" w:rsidRDefault="00B70D3E">
            <w:pPr>
              <w:spacing w:line="240" w:lineRule="auto"/>
              <w:ind w:firstLine="0"/>
              <w:jc w:val="center"/>
              <w:rPr>
                <w:color w:val="000000"/>
                <w:sz w:val="23"/>
                <w:szCs w:val="23"/>
              </w:rPr>
            </w:pPr>
            <w:r>
              <w:rPr>
                <w:color w:val="000000"/>
                <w:sz w:val="23"/>
                <w:szCs w:val="23"/>
              </w:rPr>
              <w:t>61,4</w:t>
            </w:r>
          </w:p>
        </w:tc>
        <w:tc>
          <w:tcPr>
            <w:tcW w:w="1134"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0,0</w:t>
            </w:r>
          </w:p>
        </w:tc>
        <w:tc>
          <w:tcPr>
            <w:tcW w:w="1418" w:type="dxa"/>
            <w:tcBorders>
              <w:top w:val="single" w:sz="4" w:space="0" w:color="auto"/>
              <w:left w:val="single" w:sz="4" w:space="0" w:color="auto"/>
              <w:bottom w:val="single" w:sz="4" w:space="0" w:color="auto"/>
              <w:right w:val="single" w:sz="4" w:space="0" w:color="auto"/>
            </w:tcBorders>
            <w:shd w:val="clear" w:color="000000" w:fill="E28700"/>
            <w:vAlign w:val="center"/>
          </w:tcPr>
          <w:p w:rsidR="00DC1467" w:rsidRDefault="00B70D3E">
            <w:pPr>
              <w:spacing w:line="240" w:lineRule="auto"/>
              <w:ind w:firstLine="0"/>
              <w:jc w:val="center"/>
              <w:rPr>
                <w:color w:val="000000"/>
                <w:sz w:val="23"/>
                <w:szCs w:val="23"/>
              </w:rPr>
            </w:pPr>
            <w:r>
              <w:rPr>
                <w:color w:val="000000"/>
                <w:sz w:val="23"/>
                <w:szCs w:val="23"/>
              </w:rPr>
              <w:t>72,7</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0,0</w:t>
            </w:r>
          </w:p>
        </w:tc>
        <w:tc>
          <w:tcPr>
            <w:tcW w:w="1417" w:type="dxa"/>
            <w:tcBorders>
              <w:top w:val="single" w:sz="4" w:space="0" w:color="auto"/>
              <w:left w:val="single" w:sz="4" w:space="0" w:color="auto"/>
              <w:bottom w:val="single" w:sz="4" w:space="0" w:color="auto"/>
              <w:right w:val="single" w:sz="4" w:space="0" w:color="auto"/>
            </w:tcBorders>
            <w:shd w:val="clear" w:color="000000" w:fill="E28700"/>
            <w:vAlign w:val="center"/>
          </w:tcPr>
          <w:p w:rsidR="00DC1467" w:rsidRDefault="00B70D3E">
            <w:pPr>
              <w:spacing w:line="240" w:lineRule="auto"/>
              <w:ind w:firstLine="0"/>
              <w:jc w:val="center"/>
              <w:rPr>
                <w:color w:val="000000"/>
                <w:sz w:val="23"/>
                <w:szCs w:val="23"/>
              </w:rPr>
            </w:pPr>
            <w:r>
              <w:rPr>
                <w:color w:val="000000"/>
                <w:sz w:val="23"/>
                <w:szCs w:val="23"/>
              </w:rPr>
              <w:t>64,2</w:t>
            </w:r>
          </w:p>
        </w:tc>
        <w:tc>
          <w:tcPr>
            <w:tcW w:w="1134"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0,0</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0,0</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0,0</w:t>
            </w:r>
          </w:p>
        </w:tc>
        <w:tc>
          <w:tcPr>
            <w:tcW w:w="1275"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b/>
                <w:bCs/>
                <w:color w:val="000000"/>
                <w:sz w:val="23"/>
                <w:szCs w:val="23"/>
              </w:rPr>
            </w:pPr>
            <w:r>
              <w:rPr>
                <w:b/>
                <w:bCs/>
                <w:color w:val="000000"/>
                <w:sz w:val="23"/>
                <w:szCs w:val="23"/>
              </w:rPr>
              <w:t>24,8</w:t>
            </w:r>
          </w:p>
        </w:tc>
      </w:tr>
      <w:tr w:rsidR="00DC1467">
        <w:trPr>
          <w:trHeight w:val="227"/>
        </w:trPr>
        <w:tc>
          <w:tcPr>
            <w:tcW w:w="3134" w:type="dxa"/>
            <w:tcBorders>
              <w:top w:val="none" w:sz="4" w:space="0" w:color="000000"/>
              <w:left w:val="single" w:sz="4" w:space="0" w:color="auto"/>
              <w:bottom w:val="single" w:sz="4" w:space="0" w:color="auto"/>
              <w:right w:val="single" w:sz="4" w:space="0" w:color="auto"/>
            </w:tcBorders>
            <w:shd w:val="clear" w:color="auto" w:fill="auto"/>
            <w:vAlign w:val="center"/>
          </w:tcPr>
          <w:p w:rsidR="00DC1467" w:rsidRDefault="00B70D3E">
            <w:pPr>
              <w:spacing w:line="240" w:lineRule="auto"/>
              <w:ind w:firstLine="0"/>
              <w:jc w:val="left"/>
              <w:rPr>
                <w:color w:val="000000"/>
                <w:sz w:val="23"/>
                <w:szCs w:val="23"/>
              </w:rPr>
            </w:pPr>
            <w:r>
              <w:rPr>
                <w:color w:val="000000"/>
                <w:sz w:val="23"/>
                <w:szCs w:val="23"/>
              </w:rPr>
              <w:t>г. Покачи</w:t>
            </w:r>
          </w:p>
        </w:tc>
        <w:tc>
          <w:tcPr>
            <w:tcW w:w="1417"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14,8</w:t>
            </w:r>
          </w:p>
        </w:tc>
        <w:tc>
          <w:tcPr>
            <w:tcW w:w="1134"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0,0</w:t>
            </w:r>
          </w:p>
        </w:tc>
        <w:tc>
          <w:tcPr>
            <w:tcW w:w="1418"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16,0</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0,0</w:t>
            </w:r>
          </w:p>
        </w:tc>
        <w:tc>
          <w:tcPr>
            <w:tcW w:w="1417" w:type="dxa"/>
            <w:tcBorders>
              <w:top w:val="single" w:sz="4" w:space="0" w:color="auto"/>
              <w:left w:val="single" w:sz="4" w:space="0" w:color="auto"/>
              <w:bottom w:val="single" w:sz="4" w:space="0" w:color="auto"/>
              <w:right w:val="single" w:sz="4" w:space="0" w:color="auto"/>
            </w:tcBorders>
            <w:shd w:val="clear" w:color="000000" w:fill="FF4B4B"/>
            <w:vAlign w:val="center"/>
          </w:tcPr>
          <w:p w:rsidR="00DC1467" w:rsidRDefault="00B70D3E">
            <w:pPr>
              <w:spacing w:line="240" w:lineRule="auto"/>
              <w:ind w:firstLine="0"/>
              <w:jc w:val="center"/>
              <w:rPr>
                <w:color w:val="000000"/>
                <w:sz w:val="23"/>
                <w:szCs w:val="23"/>
              </w:rPr>
            </w:pPr>
            <w:r>
              <w:rPr>
                <w:color w:val="000000"/>
                <w:sz w:val="23"/>
                <w:szCs w:val="23"/>
              </w:rPr>
              <w:t>92,9</w:t>
            </w:r>
          </w:p>
        </w:tc>
        <w:tc>
          <w:tcPr>
            <w:tcW w:w="1134" w:type="dxa"/>
            <w:tcBorders>
              <w:top w:val="single" w:sz="4" w:space="0" w:color="auto"/>
              <w:left w:val="single" w:sz="4" w:space="0" w:color="auto"/>
              <w:bottom w:val="single" w:sz="4" w:space="0" w:color="auto"/>
              <w:right w:val="single" w:sz="4" w:space="0" w:color="auto"/>
            </w:tcBorders>
            <w:shd w:val="clear" w:color="000000" w:fill="FFFF52"/>
            <w:vAlign w:val="center"/>
          </w:tcPr>
          <w:p w:rsidR="00DC1467" w:rsidRDefault="00B70D3E">
            <w:pPr>
              <w:spacing w:line="240" w:lineRule="auto"/>
              <w:ind w:firstLine="0"/>
              <w:jc w:val="center"/>
              <w:rPr>
                <w:color w:val="000000"/>
                <w:sz w:val="23"/>
                <w:szCs w:val="23"/>
              </w:rPr>
            </w:pPr>
            <w:r>
              <w:rPr>
                <w:color w:val="000000"/>
                <w:sz w:val="23"/>
                <w:szCs w:val="23"/>
              </w:rPr>
              <w:t>40,3</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0,0</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0,0</w:t>
            </w:r>
          </w:p>
        </w:tc>
        <w:tc>
          <w:tcPr>
            <w:tcW w:w="1275"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b/>
                <w:bCs/>
                <w:color w:val="000000"/>
                <w:sz w:val="23"/>
                <w:szCs w:val="23"/>
              </w:rPr>
            </w:pPr>
            <w:r>
              <w:rPr>
                <w:b/>
                <w:bCs/>
                <w:color w:val="000000"/>
                <w:sz w:val="23"/>
                <w:szCs w:val="23"/>
              </w:rPr>
              <w:t>20,5</w:t>
            </w:r>
          </w:p>
        </w:tc>
      </w:tr>
      <w:tr w:rsidR="00DC1467">
        <w:trPr>
          <w:trHeight w:val="227"/>
        </w:trPr>
        <w:tc>
          <w:tcPr>
            <w:tcW w:w="3134" w:type="dxa"/>
            <w:tcBorders>
              <w:top w:val="none" w:sz="4" w:space="0" w:color="000000"/>
              <w:left w:val="single" w:sz="4" w:space="0" w:color="auto"/>
              <w:bottom w:val="single" w:sz="4" w:space="0" w:color="auto"/>
              <w:right w:val="single" w:sz="4" w:space="0" w:color="auto"/>
            </w:tcBorders>
            <w:shd w:val="clear" w:color="auto" w:fill="auto"/>
            <w:vAlign w:val="center"/>
          </w:tcPr>
          <w:p w:rsidR="00DC1467" w:rsidRDefault="00B70D3E">
            <w:pPr>
              <w:spacing w:line="240" w:lineRule="auto"/>
              <w:ind w:firstLine="0"/>
              <w:jc w:val="left"/>
              <w:rPr>
                <w:color w:val="000000"/>
                <w:sz w:val="23"/>
                <w:szCs w:val="23"/>
              </w:rPr>
            </w:pPr>
            <w:r>
              <w:rPr>
                <w:color w:val="000000"/>
                <w:sz w:val="23"/>
                <w:szCs w:val="23"/>
              </w:rPr>
              <w:t>г. Пыть-Ях</w:t>
            </w:r>
          </w:p>
        </w:tc>
        <w:tc>
          <w:tcPr>
            <w:tcW w:w="1417"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22,3</w:t>
            </w:r>
          </w:p>
        </w:tc>
        <w:tc>
          <w:tcPr>
            <w:tcW w:w="1134"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0,0</w:t>
            </w:r>
          </w:p>
        </w:tc>
        <w:tc>
          <w:tcPr>
            <w:tcW w:w="1418" w:type="dxa"/>
            <w:tcBorders>
              <w:top w:val="single" w:sz="4" w:space="0" w:color="auto"/>
              <w:left w:val="single" w:sz="4" w:space="0" w:color="auto"/>
              <w:bottom w:val="single" w:sz="4" w:space="0" w:color="auto"/>
              <w:right w:val="single" w:sz="4" w:space="0" w:color="auto"/>
            </w:tcBorders>
            <w:shd w:val="clear" w:color="000000" w:fill="FFFF52"/>
            <w:vAlign w:val="center"/>
          </w:tcPr>
          <w:p w:rsidR="00DC1467" w:rsidRDefault="00B70D3E">
            <w:pPr>
              <w:spacing w:line="240" w:lineRule="auto"/>
              <w:ind w:firstLine="0"/>
              <w:jc w:val="center"/>
              <w:rPr>
                <w:color w:val="000000"/>
                <w:sz w:val="23"/>
                <w:szCs w:val="23"/>
              </w:rPr>
            </w:pPr>
            <w:r>
              <w:rPr>
                <w:color w:val="000000"/>
                <w:sz w:val="23"/>
                <w:szCs w:val="23"/>
              </w:rPr>
              <w:t>28,9</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0,0</w:t>
            </w:r>
          </w:p>
        </w:tc>
        <w:tc>
          <w:tcPr>
            <w:tcW w:w="1417"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0,0</w:t>
            </w:r>
          </w:p>
        </w:tc>
        <w:tc>
          <w:tcPr>
            <w:tcW w:w="1134" w:type="dxa"/>
            <w:tcBorders>
              <w:top w:val="single" w:sz="4" w:space="0" w:color="auto"/>
              <w:left w:val="single" w:sz="4" w:space="0" w:color="auto"/>
              <w:bottom w:val="single" w:sz="4" w:space="0" w:color="auto"/>
              <w:right w:val="single" w:sz="4" w:space="0" w:color="auto"/>
            </w:tcBorders>
            <w:shd w:val="clear" w:color="000000" w:fill="FFFF52"/>
            <w:vAlign w:val="center"/>
          </w:tcPr>
          <w:p w:rsidR="00DC1467" w:rsidRDefault="00B70D3E">
            <w:pPr>
              <w:spacing w:line="240" w:lineRule="auto"/>
              <w:ind w:firstLine="0"/>
              <w:jc w:val="center"/>
              <w:rPr>
                <w:color w:val="000000"/>
                <w:sz w:val="23"/>
                <w:szCs w:val="23"/>
              </w:rPr>
            </w:pPr>
            <w:r>
              <w:rPr>
                <w:color w:val="000000"/>
                <w:sz w:val="23"/>
                <w:szCs w:val="23"/>
              </w:rPr>
              <w:t>32,7</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0,0</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0,0</w:t>
            </w:r>
          </w:p>
        </w:tc>
        <w:tc>
          <w:tcPr>
            <w:tcW w:w="1275"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b/>
                <w:bCs/>
                <w:color w:val="000000"/>
                <w:sz w:val="23"/>
                <w:szCs w:val="23"/>
              </w:rPr>
            </w:pPr>
            <w:r>
              <w:rPr>
                <w:b/>
                <w:bCs/>
                <w:color w:val="000000"/>
                <w:sz w:val="23"/>
                <w:szCs w:val="23"/>
              </w:rPr>
              <w:t>10,5</w:t>
            </w:r>
          </w:p>
        </w:tc>
      </w:tr>
      <w:tr w:rsidR="00DC1467">
        <w:trPr>
          <w:trHeight w:val="227"/>
        </w:trPr>
        <w:tc>
          <w:tcPr>
            <w:tcW w:w="3134" w:type="dxa"/>
            <w:tcBorders>
              <w:top w:val="none" w:sz="4" w:space="0" w:color="000000"/>
              <w:left w:val="single" w:sz="4" w:space="0" w:color="auto"/>
              <w:bottom w:val="single" w:sz="4" w:space="0" w:color="auto"/>
              <w:right w:val="single" w:sz="4" w:space="0" w:color="auto"/>
            </w:tcBorders>
            <w:shd w:val="clear" w:color="auto" w:fill="auto"/>
            <w:vAlign w:val="center"/>
          </w:tcPr>
          <w:p w:rsidR="00DC1467" w:rsidRDefault="00B70D3E">
            <w:pPr>
              <w:spacing w:line="240" w:lineRule="auto"/>
              <w:ind w:firstLine="0"/>
              <w:jc w:val="left"/>
              <w:rPr>
                <w:color w:val="000000"/>
                <w:sz w:val="23"/>
                <w:szCs w:val="23"/>
              </w:rPr>
            </w:pPr>
            <w:r>
              <w:rPr>
                <w:color w:val="000000"/>
                <w:sz w:val="23"/>
                <w:szCs w:val="23"/>
              </w:rPr>
              <w:t>г. Радужный</w:t>
            </w:r>
          </w:p>
        </w:tc>
        <w:tc>
          <w:tcPr>
            <w:tcW w:w="1417"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16,8</w:t>
            </w:r>
          </w:p>
        </w:tc>
        <w:tc>
          <w:tcPr>
            <w:tcW w:w="1134"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9,9</w:t>
            </w:r>
          </w:p>
        </w:tc>
        <w:tc>
          <w:tcPr>
            <w:tcW w:w="1418"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18,2</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0,0</w:t>
            </w:r>
          </w:p>
        </w:tc>
        <w:tc>
          <w:tcPr>
            <w:tcW w:w="1417" w:type="dxa"/>
            <w:tcBorders>
              <w:top w:val="single" w:sz="4" w:space="0" w:color="auto"/>
              <w:left w:val="single" w:sz="4" w:space="0" w:color="auto"/>
              <w:bottom w:val="single" w:sz="4" w:space="0" w:color="auto"/>
              <w:right w:val="single" w:sz="4" w:space="0" w:color="auto"/>
            </w:tcBorders>
            <w:shd w:val="clear" w:color="000000" w:fill="E28700"/>
            <w:vAlign w:val="center"/>
          </w:tcPr>
          <w:p w:rsidR="00DC1467" w:rsidRDefault="00B70D3E">
            <w:pPr>
              <w:spacing w:line="240" w:lineRule="auto"/>
              <w:ind w:firstLine="0"/>
              <w:jc w:val="center"/>
              <w:rPr>
                <w:color w:val="000000"/>
                <w:sz w:val="23"/>
                <w:szCs w:val="23"/>
              </w:rPr>
            </w:pPr>
            <w:r>
              <w:rPr>
                <w:color w:val="000000"/>
                <w:sz w:val="23"/>
                <w:szCs w:val="23"/>
              </w:rPr>
              <w:t>67,5</w:t>
            </w:r>
          </w:p>
        </w:tc>
        <w:tc>
          <w:tcPr>
            <w:tcW w:w="1134"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14,6</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0,0</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22,5</w:t>
            </w:r>
          </w:p>
        </w:tc>
        <w:tc>
          <w:tcPr>
            <w:tcW w:w="1275"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b/>
                <w:bCs/>
                <w:color w:val="000000"/>
                <w:sz w:val="23"/>
                <w:szCs w:val="23"/>
              </w:rPr>
            </w:pPr>
            <w:r>
              <w:rPr>
                <w:b/>
                <w:bCs/>
                <w:color w:val="000000"/>
                <w:sz w:val="23"/>
                <w:szCs w:val="23"/>
              </w:rPr>
              <w:t>18,7</w:t>
            </w:r>
          </w:p>
        </w:tc>
      </w:tr>
      <w:tr w:rsidR="00DC1467">
        <w:trPr>
          <w:trHeight w:val="227"/>
        </w:trPr>
        <w:tc>
          <w:tcPr>
            <w:tcW w:w="3134" w:type="dxa"/>
            <w:tcBorders>
              <w:top w:val="none" w:sz="4" w:space="0" w:color="000000"/>
              <w:left w:val="single" w:sz="4" w:space="0" w:color="auto"/>
              <w:bottom w:val="single" w:sz="4" w:space="0" w:color="auto"/>
              <w:right w:val="single" w:sz="4" w:space="0" w:color="auto"/>
            </w:tcBorders>
            <w:shd w:val="clear" w:color="auto" w:fill="auto"/>
            <w:vAlign w:val="center"/>
          </w:tcPr>
          <w:p w:rsidR="00DC1467" w:rsidRDefault="00B70D3E">
            <w:pPr>
              <w:spacing w:line="240" w:lineRule="auto"/>
              <w:ind w:firstLine="0"/>
              <w:jc w:val="left"/>
              <w:rPr>
                <w:color w:val="000000"/>
                <w:sz w:val="23"/>
                <w:szCs w:val="23"/>
              </w:rPr>
            </w:pPr>
            <w:r>
              <w:rPr>
                <w:color w:val="000000"/>
                <w:sz w:val="23"/>
                <w:szCs w:val="23"/>
              </w:rPr>
              <w:t>г. Сургут</w:t>
            </w:r>
          </w:p>
        </w:tc>
        <w:tc>
          <w:tcPr>
            <w:tcW w:w="1417" w:type="dxa"/>
            <w:tcBorders>
              <w:top w:val="single" w:sz="4" w:space="0" w:color="auto"/>
              <w:left w:val="single" w:sz="4" w:space="0" w:color="auto"/>
              <w:bottom w:val="single" w:sz="4" w:space="0" w:color="auto"/>
              <w:right w:val="single" w:sz="4" w:space="0" w:color="auto"/>
            </w:tcBorders>
            <w:shd w:val="clear" w:color="000000" w:fill="FFFF52"/>
            <w:vAlign w:val="center"/>
          </w:tcPr>
          <w:p w:rsidR="00DC1467" w:rsidRDefault="00B70D3E">
            <w:pPr>
              <w:spacing w:line="240" w:lineRule="auto"/>
              <w:ind w:firstLine="0"/>
              <w:jc w:val="center"/>
              <w:rPr>
                <w:color w:val="000000"/>
                <w:sz w:val="23"/>
                <w:szCs w:val="23"/>
              </w:rPr>
            </w:pPr>
            <w:r>
              <w:rPr>
                <w:color w:val="000000"/>
                <w:sz w:val="23"/>
                <w:szCs w:val="23"/>
              </w:rPr>
              <w:t>43,0</w:t>
            </w:r>
          </w:p>
        </w:tc>
        <w:tc>
          <w:tcPr>
            <w:tcW w:w="1134"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24,7</w:t>
            </w:r>
          </w:p>
        </w:tc>
        <w:tc>
          <w:tcPr>
            <w:tcW w:w="1418" w:type="dxa"/>
            <w:tcBorders>
              <w:top w:val="single" w:sz="4" w:space="0" w:color="auto"/>
              <w:left w:val="single" w:sz="4" w:space="0" w:color="auto"/>
              <w:bottom w:val="single" w:sz="4" w:space="0" w:color="auto"/>
              <w:right w:val="single" w:sz="4" w:space="0" w:color="auto"/>
            </w:tcBorders>
            <w:shd w:val="clear" w:color="000000" w:fill="E28700"/>
            <w:vAlign w:val="center"/>
          </w:tcPr>
          <w:p w:rsidR="00DC1467" w:rsidRDefault="00B70D3E">
            <w:pPr>
              <w:spacing w:line="240" w:lineRule="auto"/>
              <w:ind w:firstLine="0"/>
              <w:jc w:val="center"/>
              <w:rPr>
                <w:color w:val="000000"/>
                <w:sz w:val="23"/>
                <w:szCs w:val="23"/>
              </w:rPr>
            </w:pPr>
            <w:r>
              <w:rPr>
                <w:color w:val="000000"/>
                <w:sz w:val="23"/>
                <w:szCs w:val="23"/>
              </w:rPr>
              <w:t>53,5</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18,2</w:t>
            </w:r>
          </w:p>
        </w:tc>
        <w:tc>
          <w:tcPr>
            <w:tcW w:w="1417" w:type="dxa"/>
            <w:tcBorders>
              <w:top w:val="single" w:sz="4" w:space="0" w:color="auto"/>
              <w:left w:val="single" w:sz="4" w:space="0" w:color="auto"/>
              <w:bottom w:val="single" w:sz="4" w:space="0" w:color="auto"/>
              <w:right w:val="single" w:sz="4" w:space="0" w:color="auto"/>
            </w:tcBorders>
            <w:shd w:val="clear" w:color="000000" w:fill="E28700"/>
            <w:vAlign w:val="center"/>
          </w:tcPr>
          <w:p w:rsidR="00DC1467" w:rsidRDefault="00B70D3E">
            <w:pPr>
              <w:spacing w:line="240" w:lineRule="auto"/>
              <w:ind w:firstLine="0"/>
              <w:jc w:val="center"/>
              <w:rPr>
                <w:color w:val="000000"/>
                <w:sz w:val="23"/>
                <w:szCs w:val="23"/>
              </w:rPr>
            </w:pPr>
            <w:r>
              <w:rPr>
                <w:color w:val="000000"/>
                <w:sz w:val="23"/>
                <w:szCs w:val="23"/>
              </w:rPr>
              <w:t>58,9</w:t>
            </w:r>
          </w:p>
        </w:tc>
        <w:tc>
          <w:tcPr>
            <w:tcW w:w="1134" w:type="dxa"/>
            <w:tcBorders>
              <w:top w:val="single" w:sz="4" w:space="0" w:color="auto"/>
              <w:left w:val="single" w:sz="4" w:space="0" w:color="auto"/>
              <w:bottom w:val="single" w:sz="4" w:space="0" w:color="auto"/>
              <w:right w:val="single" w:sz="4" w:space="0" w:color="auto"/>
            </w:tcBorders>
            <w:shd w:val="clear" w:color="000000" w:fill="E28700"/>
            <w:vAlign w:val="center"/>
          </w:tcPr>
          <w:p w:rsidR="00DC1467" w:rsidRDefault="00B70D3E">
            <w:pPr>
              <w:spacing w:line="240" w:lineRule="auto"/>
              <w:ind w:firstLine="0"/>
              <w:jc w:val="center"/>
              <w:rPr>
                <w:color w:val="000000"/>
                <w:sz w:val="23"/>
                <w:szCs w:val="23"/>
              </w:rPr>
            </w:pPr>
            <w:r>
              <w:rPr>
                <w:color w:val="000000"/>
                <w:sz w:val="23"/>
                <w:szCs w:val="23"/>
              </w:rPr>
              <w:t>70,3</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21,0</w:t>
            </w:r>
          </w:p>
        </w:tc>
        <w:tc>
          <w:tcPr>
            <w:tcW w:w="1276" w:type="dxa"/>
            <w:tcBorders>
              <w:top w:val="single" w:sz="4" w:space="0" w:color="auto"/>
              <w:left w:val="single" w:sz="4" w:space="0" w:color="auto"/>
              <w:bottom w:val="single" w:sz="4" w:space="0" w:color="auto"/>
              <w:right w:val="single" w:sz="4" w:space="0" w:color="auto"/>
            </w:tcBorders>
            <w:shd w:val="clear" w:color="000000" w:fill="E28700"/>
            <w:vAlign w:val="center"/>
          </w:tcPr>
          <w:p w:rsidR="00DC1467" w:rsidRDefault="00B70D3E">
            <w:pPr>
              <w:spacing w:line="240" w:lineRule="auto"/>
              <w:ind w:firstLine="0"/>
              <w:jc w:val="center"/>
              <w:rPr>
                <w:color w:val="000000"/>
                <w:sz w:val="23"/>
                <w:szCs w:val="23"/>
              </w:rPr>
            </w:pPr>
            <w:r>
              <w:rPr>
                <w:color w:val="000000"/>
                <w:sz w:val="23"/>
                <w:szCs w:val="23"/>
              </w:rPr>
              <w:t>56,4</w:t>
            </w:r>
          </w:p>
        </w:tc>
        <w:tc>
          <w:tcPr>
            <w:tcW w:w="1275" w:type="dxa"/>
            <w:tcBorders>
              <w:top w:val="single" w:sz="4" w:space="0" w:color="auto"/>
              <w:left w:val="single" w:sz="4" w:space="0" w:color="auto"/>
              <w:bottom w:val="single" w:sz="4" w:space="0" w:color="auto"/>
              <w:right w:val="single" w:sz="4" w:space="0" w:color="auto"/>
            </w:tcBorders>
            <w:shd w:val="clear" w:color="000000" w:fill="FFFF52"/>
            <w:vAlign w:val="center"/>
          </w:tcPr>
          <w:p w:rsidR="00DC1467" w:rsidRDefault="00B70D3E">
            <w:pPr>
              <w:spacing w:line="240" w:lineRule="auto"/>
              <w:ind w:firstLine="0"/>
              <w:jc w:val="center"/>
              <w:rPr>
                <w:b/>
                <w:bCs/>
                <w:color w:val="000000"/>
                <w:sz w:val="23"/>
                <w:szCs w:val="23"/>
              </w:rPr>
            </w:pPr>
            <w:r>
              <w:rPr>
                <w:b/>
                <w:bCs/>
                <w:color w:val="000000"/>
                <w:sz w:val="23"/>
                <w:szCs w:val="23"/>
              </w:rPr>
              <w:t>43,2</w:t>
            </w:r>
          </w:p>
        </w:tc>
      </w:tr>
      <w:tr w:rsidR="00DC1467">
        <w:trPr>
          <w:trHeight w:val="227"/>
        </w:trPr>
        <w:tc>
          <w:tcPr>
            <w:tcW w:w="3134" w:type="dxa"/>
            <w:tcBorders>
              <w:top w:val="none" w:sz="4" w:space="0" w:color="000000"/>
              <w:left w:val="single" w:sz="4" w:space="0" w:color="auto"/>
              <w:bottom w:val="single" w:sz="4" w:space="0" w:color="auto"/>
              <w:right w:val="single" w:sz="4" w:space="0" w:color="auto"/>
            </w:tcBorders>
            <w:shd w:val="clear" w:color="auto" w:fill="auto"/>
            <w:vAlign w:val="center"/>
          </w:tcPr>
          <w:p w:rsidR="00DC1467" w:rsidRDefault="00B70D3E">
            <w:pPr>
              <w:spacing w:line="240" w:lineRule="auto"/>
              <w:ind w:firstLine="0"/>
              <w:jc w:val="left"/>
              <w:rPr>
                <w:color w:val="000000"/>
                <w:sz w:val="23"/>
                <w:szCs w:val="23"/>
              </w:rPr>
            </w:pPr>
            <w:r>
              <w:rPr>
                <w:color w:val="000000"/>
                <w:sz w:val="23"/>
                <w:szCs w:val="23"/>
              </w:rPr>
              <w:t>г. Урай</w:t>
            </w:r>
          </w:p>
        </w:tc>
        <w:tc>
          <w:tcPr>
            <w:tcW w:w="1417" w:type="dxa"/>
            <w:tcBorders>
              <w:top w:val="single" w:sz="4" w:space="0" w:color="auto"/>
              <w:left w:val="single" w:sz="4" w:space="0" w:color="auto"/>
              <w:bottom w:val="single" w:sz="4" w:space="0" w:color="auto"/>
              <w:right w:val="single" w:sz="4" w:space="0" w:color="auto"/>
            </w:tcBorders>
            <w:shd w:val="clear" w:color="000000" w:fill="E28700"/>
            <w:vAlign w:val="center"/>
          </w:tcPr>
          <w:p w:rsidR="00DC1467" w:rsidRDefault="00B70D3E">
            <w:pPr>
              <w:spacing w:line="240" w:lineRule="auto"/>
              <w:ind w:firstLine="0"/>
              <w:jc w:val="center"/>
              <w:rPr>
                <w:color w:val="000000"/>
                <w:sz w:val="23"/>
                <w:szCs w:val="23"/>
              </w:rPr>
            </w:pPr>
            <w:r>
              <w:rPr>
                <w:color w:val="000000"/>
                <w:sz w:val="23"/>
                <w:szCs w:val="23"/>
              </w:rPr>
              <w:t>52,8</w:t>
            </w:r>
          </w:p>
        </w:tc>
        <w:tc>
          <w:tcPr>
            <w:tcW w:w="1134"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0,0</w:t>
            </w:r>
          </w:p>
        </w:tc>
        <w:tc>
          <w:tcPr>
            <w:tcW w:w="1418" w:type="dxa"/>
            <w:tcBorders>
              <w:top w:val="single" w:sz="4" w:space="0" w:color="auto"/>
              <w:left w:val="single" w:sz="4" w:space="0" w:color="auto"/>
              <w:bottom w:val="single" w:sz="4" w:space="0" w:color="auto"/>
              <w:right w:val="single" w:sz="4" w:space="0" w:color="auto"/>
            </w:tcBorders>
            <w:shd w:val="clear" w:color="000000" w:fill="E28700"/>
            <w:vAlign w:val="center"/>
          </w:tcPr>
          <w:p w:rsidR="00DC1467" w:rsidRDefault="00B70D3E">
            <w:pPr>
              <w:spacing w:line="240" w:lineRule="auto"/>
              <w:ind w:firstLine="0"/>
              <w:jc w:val="center"/>
              <w:rPr>
                <w:color w:val="000000"/>
                <w:sz w:val="23"/>
                <w:szCs w:val="23"/>
              </w:rPr>
            </w:pPr>
            <w:r>
              <w:rPr>
                <w:color w:val="000000"/>
                <w:sz w:val="23"/>
                <w:szCs w:val="23"/>
              </w:rPr>
              <w:t>58,2</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0,0</w:t>
            </w:r>
          </w:p>
        </w:tc>
        <w:tc>
          <w:tcPr>
            <w:tcW w:w="1417" w:type="dxa"/>
            <w:tcBorders>
              <w:top w:val="single" w:sz="4" w:space="0" w:color="auto"/>
              <w:left w:val="single" w:sz="4" w:space="0" w:color="auto"/>
              <w:bottom w:val="single" w:sz="4" w:space="0" w:color="auto"/>
              <w:right w:val="single" w:sz="4" w:space="0" w:color="auto"/>
            </w:tcBorders>
            <w:shd w:val="clear" w:color="000000" w:fill="FFFF52"/>
            <w:vAlign w:val="center"/>
          </w:tcPr>
          <w:p w:rsidR="00DC1467" w:rsidRDefault="00B70D3E">
            <w:pPr>
              <w:spacing w:line="240" w:lineRule="auto"/>
              <w:ind w:firstLine="0"/>
              <w:jc w:val="center"/>
              <w:rPr>
                <w:color w:val="000000"/>
                <w:sz w:val="23"/>
                <w:szCs w:val="23"/>
              </w:rPr>
            </w:pPr>
            <w:r>
              <w:rPr>
                <w:color w:val="000000"/>
                <w:sz w:val="23"/>
                <w:szCs w:val="23"/>
              </w:rPr>
              <w:t>36,9</w:t>
            </w:r>
          </w:p>
        </w:tc>
        <w:tc>
          <w:tcPr>
            <w:tcW w:w="1134" w:type="dxa"/>
            <w:tcBorders>
              <w:top w:val="single" w:sz="4" w:space="0" w:color="auto"/>
              <w:left w:val="single" w:sz="4" w:space="0" w:color="auto"/>
              <w:bottom w:val="single" w:sz="4" w:space="0" w:color="auto"/>
              <w:right w:val="single" w:sz="4" w:space="0" w:color="auto"/>
            </w:tcBorders>
            <w:shd w:val="clear" w:color="000000" w:fill="FFFF52"/>
            <w:vAlign w:val="center"/>
          </w:tcPr>
          <w:p w:rsidR="00DC1467" w:rsidRDefault="00B70D3E">
            <w:pPr>
              <w:spacing w:line="240" w:lineRule="auto"/>
              <w:ind w:firstLine="0"/>
              <w:jc w:val="center"/>
              <w:rPr>
                <w:color w:val="000000"/>
                <w:sz w:val="23"/>
                <w:szCs w:val="23"/>
              </w:rPr>
            </w:pPr>
            <w:r>
              <w:rPr>
                <w:color w:val="000000"/>
                <w:sz w:val="23"/>
                <w:szCs w:val="23"/>
              </w:rPr>
              <w:t>32,0</w:t>
            </w:r>
          </w:p>
        </w:tc>
        <w:tc>
          <w:tcPr>
            <w:tcW w:w="1276" w:type="dxa"/>
            <w:tcBorders>
              <w:top w:val="single" w:sz="4" w:space="0" w:color="auto"/>
              <w:left w:val="single" w:sz="4" w:space="0" w:color="auto"/>
              <w:bottom w:val="single" w:sz="4" w:space="0" w:color="auto"/>
              <w:right w:val="single" w:sz="4" w:space="0" w:color="auto"/>
            </w:tcBorders>
            <w:shd w:val="clear" w:color="000000" w:fill="FF4B4B"/>
            <w:vAlign w:val="center"/>
          </w:tcPr>
          <w:p w:rsidR="00DC1467" w:rsidRDefault="00B70D3E">
            <w:pPr>
              <w:spacing w:line="240" w:lineRule="auto"/>
              <w:ind w:firstLine="0"/>
              <w:jc w:val="center"/>
              <w:rPr>
                <w:color w:val="000000"/>
                <w:sz w:val="23"/>
                <w:szCs w:val="23"/>
              </w:rPr>
            </w:pPr>
            <w:r>
              <w:rPr>
                <w:color w:val="000000"/>
                <w:sz w:val="23"/>
                <w:szCs w:val="23"/>
              </w:rPr>
              <w:t>100,0</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0,0</w:t>
            </w:r>
          </w:p>
        </w:tc>
        <w:tc>
          <w:tcPr>
            <w:tcW w:w="1275" w:type="dxa"/>
            <w:tcBorders>
              <w:top w:val="single" w:sz="4" w:space="0" w:color="auto"/>
              <w:left w:val="single" w:sz="4" w:space="0" w:color="auto"/>
              <w:bottom w:val="single" w:sz="4" w:space="0" w:color="auto"/>
              <w:right w:val="single" w:sz="4" w:space="0" w:color="auto"/>
            </w:tcBorders>
            <w:shd w:val="clear" w:color="000000" w:fill="FFFF52"/>
            <w:vAlign w:val="center"/>
          </w:tcPr>
          <w:p w:rsidR="00DC1467" w:rsidRDefault="00B70D3E">
            <w:pPr>
              <w:spacing w:line="240" w:lineRule="auto"/>
              <w:ind w:firstLine="0"/>
              <w:jc w:val="center"/>
              <w:rPr>
                <w:b/>
                <w:bCs/>
                <w:color w:val="000000"/>
                <w:sz w:val="23"/>
                <w:szCs w:val="23"/>
              </w:rPr>
            </w:pPr>
            <w:r>
              <w:rPr>
                <w:b/>
                <w:bCs/>
                <w:color w:val="000000"/>
                <w:sz w:val="23"/>
                <w:szCs w:val="23"/>
              </w:rPr>
              <w:t>35,0</w:t>
            </w:r>
          </w:p>
        </w:tc>
      </w:tr>
      <w:tr w:rsidR="00DC1467">
        <w:trPr>
          <w:trHeight w:val="227"/>
        </w:trPr>
        <w:tc>
          <w:tcPr>
            <w:tcW w:w="3134" w:type="dxa"/>
            <w:tcBorders>
              <w:top w:val="none" w:sz="4" w:space="0" w:color="000000"/>
              <w:left w:val="single" w:sz="4" w:space="0" w:color="auto"/>
              <w:bottom w:val="single" w:sz="4" w:space="0" w:color="auto"/>
              <w:right w:val="single" w:sz="4" w:space="0" w:color="auto"/>
            </w:tcBorders>
            <w:shd w:val="clear" w:color="auto" w:fill="auto"/>
            <w:vAlign w:val="center"/>
          </w:tcPr>
          <w:p w:rsidR="00DC1467" w:rsidRDefault="00B70D3E">
            <w:pPr>
              <w:spacing w:line="240" w:lineRule="auto"/>
              <w:ind w:firstLine="0"/>
              <w:jc w:val="left"/>
              <w:rPr>
                <w:color w:val="000000"/>
                <w:sz w:val="23"/>
                <w:szCs w:val="23"/>
              </w:rPr>
            </w:pPr>
            <w:r>
              <w:rPr>
                <w:color w:val="000000"/>
                <w:sz w:val="23"/>
                <w:szCs w:val="23"/>
              </w:rPr>
              <w:t>г. Югорск</w:t>
            </w:r>
          </w:p>
        </w:tc>
        <w:tc>
          <w:tcPr>
            <w:tcW w:w="1417" w:type="dxa"/>
            <w:tcBorders>
              <w:top w:val="single" w:sz="4" w:space="0" w:color="auto"/>
              <w:left w:val="single" w:sz="4" w:space="0" w:color="auto"/>
              <w:bottom w:val="single" w:sz="4" w:space="0" w:color="auto"/>
              <w:right w:val="single" w:sz="4" w:space="0" w:color="auto"/>
            </w:tcBorders>
            <w:shd w:val="clear" w:color="000000" w:fill="FF4B4B"/>
            <w:vAlign w:val="center"/>
          </w:tcPr>
          <w:p w:rsidR="00DC1467" w:rsidRDefault="00B70D3E">
            <w:pPr>
              <w:spacing w:line="240" w:lineRule="auto"/>
              <w:ind w:firstLine="0"/>
              <w:jc w:val="center"/>
              <w:rPr>
                <w:color w:val="000000"/>
                <w:sz w:val="23"/>
                <w:szCs w:val="23"/>
              </w:rPr>
            </w:pPr>
            <w:r>
              <w:rPr>
                <w:color w:val="000000"/>
                <w:sz w:val="23"/>
                <w:szCs w:val="23"/>
              </w:rPr>
              <w:t>100,0</w:t>
            </w:r>
          </w:p>
        </w:tc>
        <w:tc>
          <w:tcPr>
            <w:tcW w:w="1134"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23,6</w:t>
            </w:r>
          </w:p>
        </w:tc>
        <w:tc>
          <w:tcPr>
            <w:tcW w:w="1418" w:type="dxa"/>
            <w:tcBorders>
              <w:top w:val="single" w:sz="4" w:space="0" w:color="auto"/>
              <w:left w:val="single" w:sz="4" w:space="0" w:color="auto"/>
              <w:bottom w:val="single" w:sz="4" w:space="0" w:color="auto"/>
              <w:right w:val="single" w:sz="4" w:space="0" w:color="auto"/>
            </w:tcBorders>
            <w:shd w:val="clear" w:color="000000" w:fill="FF4B4B"/>
            <w:vAlign w:val="center"/>
          </w:tcPr>
          <w:p w:rsidR="00DC1467" w:rsidRDefault="00B70D3E">
            <w:pPr>
              <w:spacing w:line="240" w:lineRule="auto"/>
              <w:ind w:firstLine="0"/>
              <w:jc w:val="center"/>
              <w:rPr>
                <w:color w:val="000000"/>
                <w:sz w:val="23"/>
                <w:szCs w:val="23"/>
              </w:rPr>
            </w:pPr>
            <w:r>
              <w:rPr>
                <w:color w:val="000000"/>
                <w:sz w:val="23"/>
                <w:szCs w:val="23"/>
              </w:rPr>
              <w:t>100,0</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23,6</w:t>
            </w:r>
          </w:p>
        </w:tc>
        <w:tc>
          <w:tcPr>
            <w:tcW w:w="1417" w:type="dxa"/>
            <w:tcBorders>
              <w:top w:val="single" w:sz="4" w:space="0" w:color="auto"/>
              <w:left w:val="single" w:sz="4" w:space="0" w:color="auto"/>
              <w:bottom w:val="single" w:sz="4" w:space="0" w:color="auto"/>
              <w:right w:val="single" w:sz="4" w:space="0" w:color="auto"/>
            </w:tcBorders>
            <w:shd w:val="clear" w:color="000000" w:fill="FFFF52"/>
            <w:vAlign w:val="center"/>
          </w:tcPr>
          <w:p w:rsidR="00DC1467" w:rsidRDefault="00B70D3E">
            <w:pPr>
              <w:spacing w:line="240" w:lineRule="auto"/>
              <w:ind w:firstLine="0"/>
              <w:jc w:val="center"/>
              <w:rPr>
                <w:color w:val="000000"/>
                <w:sz w:val="23"/>
                <w:szCs w:val="23"/>
              </w:rPr>
            </w:pPr>
            <w:r>
              <w:rPr>
                <w:color w:val="000000"/>
                <w:sz w:val="23"/>
                <w:szCs w:val="23"/>
              </w:rPr>
              <w:t>26,1</w:t>
            </w:r>
          </w:p>
        </w:tc>
        <w:tc>
          <w:tcPr>
            <w:tcW w:w="1134"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0,0</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0,0</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0,0</w:t>
            </w:r>
          </w:p>
        </w:tc>
        <w:tc>
          <w:tcPr>
            <w:tcW w:w="1275" w:type="dxa"/>
            <w:tcBorders>
              <w:top w:val="single" w:sz="4" w:space="0" w:color="auto"/>
              <w:left w:val="single" w:sz="4" w:space="0" w:color="auto"/>
              <w:bottom w:val="single" w:sz="4" w:space="0" w:color="auto"/>
              <w:right w:val="single" w:sz="4" w:space="0" w:color="auto"/>
            </w:tcBorders>
            <w:shd w:val="clear" w:color="000000" w:fill="FFFF52"/>
            <w:vAlign w:val="center"/>
          </w:tcPr>
          <w:p w:rsidR="00DC1467" w:rsidRDefault="00B70D3E">
            <w:pPr>
              <w:spacing w:line="240" w:lineRule="auto"/>
              <w:ind w:firstLine="0"/>
              <w:jc w:val="center"/>
              <w:rPr>
                <w:b/>
                <w:bCs/>
                <w:color w:val="000000"/>
                <w:sz w:val="23"/>
                <w:szCs w:val="23"/>
              </w:rPr>
            </w:pPr>
            <w:r>
              <w:rPr>
                <w:b/>
                <w:bCs/>
                <w:color w:val="000000"/>
                <w:sz w:val="23"/>
                <w:szCs w:val="23"/>
              </w:rPr>
              <w:t>34,2</w:t>
            </w:r>
          </w:p>
        </w:tc>
      </w:tr>
      <w:tr w:rsidR="00DC1467">
        <w:trPr>
          <w:trHeight w:val="227"/>
        </w:trPr>
        <w:tc>
          <w:tcPr>
            <w:tcW w:w="3134" w:type="dxa"/>
            <w:tcBorders>
              <w:top w:val="none" w:sz="4" w:space="0" w:color="000000"/>
              <w:left w:val="single" w:sz="4" w:space="0" w:color="auto"/>
              <w:bottom w:val="single" w:sz="4" w:space="0" w:color="auto"/>
              <w:right w:val="single" w:sz="4" w:space="0" w:color="auto"/>
            </w:tcBorders>
            <w:shd w:val="clear" w:color="auto" w:fill="auto"/>
            <w:vAlign w:val="center"/>
          </w:tcPr>
          <w:p w:rsidR="00DC1467" w:rsidRDefault="00B70D3E">
            <w:pPr>
              <w:spacing w:line="240" w:lineRule="auto"/>
              <w:ind w:firstLine="0"/>
              <w:jc w:val="left"/>
              <w:rPr>
                <w:color w:val="000000"/>
                <w:sz w:val="23"/>
                <w:szCs w:val="23"/>
              </w:rPr>
            </w:pPr>
            <w:r>
              <w:rPr>
                <w:color w:val="000000"/>
                <w:sz w:val="23"/>
                <w:szCs w:val="23"/>
              </w:rPr>
              <w:t>Белоярский район</w:t>
            </w:r>
          </w:p>
        </w:tc>
        <w:tc>
          <w:tcPr>
            <w:tcW w:w="1417"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6,3</w:t>
            </w:r>
          </w:p>
        </w:tc>
        <w:tc>
          <w:tcPr>
            <w:tcW w:w="1134"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0,0</w:t>
            </w:r>
          </w:p>
        </w:tc>
        <w:tc>
          <w:tcPr>
            <w:tcW w:w="1418"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4,5</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0,0</w:t>
            </w:r>
          </w:p>
        </w:tc>
        <w:tc>
          <w:tcPr>
            <w:tcW w:w="1417"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0,0</w:t>
            </w:r>
          </w:p>
        </w:tc>
        <w:tc>
          <w:tcPr>
            <w:tcW w:w="1134"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0,0</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0,0</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0,0</w:t>
            </w:r>
          </w:p>
        </w:tc>
        <w:tc>
          <w:tcPr>
            <w:tcW w:w="1275"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b/>
                <w:bCs/>
                <w:color w:val="000000"/>
                <w:sz w:val="23"/>
                <w:szCs w:val="23"/>
              </w:rPr>
            </w:pPr>
            <w:r>
              <w:rPr>
                <w:b/>
                <w:bCs/>
                <w:color w:val="000000"/>
                <w:sz w:val="23"/>
                <w:szCs w:val="23"/>
              </w:rPr>
              <w:t>1,4</w:t>
            </w:r>
          </w:p>
        </w:tc>
      </w:tr>
      <w:tr w:rsidR="00DC1467">
        <w:trPr>
          <w:trHeight w:val="227"/>
        </w:trPr>
        <w:tc>
          <w:tcPr>
            <w:tcW w:w="3134" w:type="dxa"/>
            <w:tcBorders>
              <w:top w:val="none" w:sz="4" w:space="0" w:color="000000"/>
              <w:left w:val="single" w:sz="4" w:space="0" w:color="auto"/>
              <w:bottom w:val="single" w:sz="4" w:space="0" w:color="auto"/>
              <w:right w:val="single" w:sz="4" w:space="0" w:color="auto"/>
            </w:tcBorders>
            <w:shd w:val="clear" w:color="auto" w:fill="auto"/>
            <w:vAlign w:val="center"/>
          </w:tcPr>
          <w:p w:rsidR="00DC1467" w:rsidRDefault="00B70D3E">
            <w:pPr>
              <w:spacing w:line="240" w:lineRule="auto"/>
              <w:ind w:firstLine="0"/>
              <w:jc w:val="left"/>
              <w:rPr>
                <w:color w:val="000000"/>
                <w:sz w:val="23"/>
                <w:szCs w:val="23"/>
              </w:rPr>
            </w:pPr>
            <w:r>
              <w:rPr>
                <w:color w:val="000000"/>
                <w:sz w:val="23"/>
                <w:szCs w:val="23"/>
              </w:rPr>
              <w:t>Березовский район</w:t>
            </w:r>
          </w:p>
        </w:tc>
        <w:tc>
          <w:tcPr>
            <w:tcW w:w="1417"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14,7</w:t>
            </w:r>
          </w:p>
        </w:tc>
        <w:tc>
          <w:tcPr>
            <w:tcW w:w="1134" w:type="dxa"/>
            <w:tcBorders>
              <w:top w:val="single" w:sz="4" w:space="0" w:color="auto"/>
              <w:left w:val="single" w:sz="4" w:space="0" w:color="auto"/>
              <w:bottom w:val="single" w:sz="4" w:space="0" w:color="auto"/>
              <w:right w:val="single" w:sz="4" w:space="0" w:color="auto"/>
            </w:tcBorders>
            <w:shd w:val="clear" w:color="000000" w:fill="FFFF52"/>
            <w:vAlign w:val="center"/>
          </w:tcPr>
          <w:p w:rsidR="00DC1467" w:rsidRDefault="00B70D3E">
            <w:pPr>
              <w:spacing w:line="240" w:lineRule="auto"/>
              <w:ind w:firstLine="0"/>
              <w:jc w:val="center"/>
              <w:rPr>
                <w:color w:val="000000"/>
                <w:sz w:val="23"/>
                <w:szCs w:val="23"/>
              </w:rPr>
            </w:pPr>
            <w:r>
              <w:rPr>
                <w:color w:val="000000"/>
                <w:sz w:val="23"/>
                <w:szCs w:val="23"/>
              </w:rPr>
              <w:t>38,1</w:t>
            </w:r>
          </w:p>
        </w:tc>
        <w:tc>
          <w:tcPr>
            <w:tcW w:w="1418"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16,2</w:t>
            </w:r>
          </w:p>
        </w:tc>
        <w:tc>
          <w:tcPr>
            <w:tcW w:w="1276" w:type="dxa"/>
            <w:tcBorders>
              <w:top w:val="single" w:sz="4" w:space="0" w:color="auto"/>
              <w:left w:val="single" w:sz="4" w:space="0" w:color="auto"/>
              <w:bottom w:val="single" w:sz="4" w:space="0" w:color="auto"/>
              <w:right w:val="single" w:sz="4" w:space="0" w:color="auto"/>
            </w:tcBorders>
            <w:shd w:val="clear" w:color="000000" w:fill="FF4B4B"/>
            <w:vAlign w:val="center"/>
          </w:tcPr>
          <w:p w:rsidR="00DC1467" w:rsidRDefault="00B70D3E">
            <w:pPr>
              <w:spacing w:line="240" w:lineRule="auto"/>
              <w:ind w:firstLine="0"/>
              <w:jc w:val="center"/>
              <w:rPr>
                <w:color w:val="000000"/>
                <w:sz w:val="23"/>
                <w:szCs w:val="23"/>
              </w:rPr>
            </w:pPr>
            <w:r>
              <w:rPr>
                <w:color w:val="000000"/>
                <w:sz w:val="23"/>
                <w:szCs w:val="23"/>
              </w:rPr>
              <w:t>76,2</w:t>
            </w:r>
          </w:p>
        </w:tc>
        <w:tc>
          <w:tcPr>
            <w:tcW w:w="1417"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0,0</w:t>
            </w:r>
          </w:p>
        </w:tc>
        <w:tc>
          <w:tcPr>
            <w:tcW w:w="1134"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0,0</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0,0</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0,0</w:t>
            </w:r>
          </w:p>
        </w:tc>
        <w:tc>
          <w:tcPr>
            <w:tcW w:w="1275"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b/>
                <w:bCs/>
                <w:color w:val="000000"/>
                <w:sz w:val="23"/>
                <w:szCs w:val="23"/>
              </w:rPr>
            </w:pPr>
            <w:r>
              <w:rPr>
                <w:b/>
                <w:bCs/>
                <w:color w:val="000000"/>
                <w:sz w:val="23"/>
                <w:szCs w:val="23"/>
              </w:rPr>
              <w:t>18,2</w:t>
            </w:r>
          </w:p>
        </w:tc>
      </w:tr>
      <w:tr w:rsidR="00DC1467">
        <w:trPr>
          <w:trHeight w:val="227"/>
        </w:trPr>
        <w:tc>
          <w:tcPr>
            <w:tcW w:w="3134" w:type="dxa"/>
            <w:tcBorders>
              <w:top w:val="none" w:sz="4" w:space="0" w:color="000000"/>
              <w:left w:val="single" w:sz="4" w:space="0" w:color="auto"/>
              <w:bottom w:val="single" w:sz="4" w:space="0" w:color="auto"/>
              <w:right w:val="single" w:sz="4" w:space="0" w:color="auto"/>
            </w:tcBorders>
            <w:shd w:val="clear" w:color="auto" w:fill="auto"/>
            <w:vAlign w:val="center"/>
          </w:tcPr>
          <w:p w:rsidR="00DC1467" w:rsidRDefault="00B70D3E">
            <w:pPr>
              <w:spacing w:line="240" w:lineRule="auto"/>
              <w:ind w:firstLine="0"/>
              <w:jc w:val="left"/>
              <w:rPr>
                <w:color w:val="000000"/>
                <w:sz w:val="23"/>
                <w:szCs w:val="23"/>
              </w:rPr>
            </w:pPr>
            <w:r>
              <w:rPr>
                <w:color w:val="000000"/>
                <w:sz w:val="23"/>
                <w:szCs w:val="23"/>
              </w:rPr>
              <w:t>Кондинский район</w:t>
            </w:r>
          </w:p>
        </w:tc>
        <w:tc>
          <w:tcPr>
            <w:tcW w:w="1417"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0,0</w:t>
            </w:r>
          </w:p>
        </w:tc>
        <w:tc>
          <w:tcPr>
            <w:tcW w:w="1134"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0,0</w:t>
            </w:r>
          </w:p>
        </w:tc>
        <w:tc>
          <w:tcPr>
            <w:tcW w:w="1418"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0,0</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0,0</w:t>
            </w:r>
          </w:p>
        </w:tc>
        <w:tc>
          <w:tcPr>
            <w:tcW w:w="1417" w:type="dxa"/>
            <w:tcBorders>
              <w:top w:val="single" w:sz="4" w:space="0" w:color="auto"/>
              <w:left w:val="single" w:sz="4" w:space="0" w:color="auto"/>
              <w:bottom w:val="single" w:sz="4" w:space="0" w:color="auto"/>
              <w:right w:val="single" w:sz="4" w:space="0" w:color="auto"/>
            </w:tcBorders>
            <w:shd w:val="clear" w:color="000000" w:fill="FF4B4B"/>
            <w:vAlign w:val="center"/>
          </w:tcPr>
          <w:p w:rsidR="00DC1467" w:rsidRDefault="00B70D3E">
            <w:pPr>
              <w:spacing w:line="240" w:lineRule="auto"/>
              <w:ind w:firstLine="0"/>
              <w:jc w:val="center"/>
              <w:rPr>
                <w:color w:val="000000"/>
                <w:sz w:val="23"/>
                <w:szCs w:val="23"/>
              </w:rPr>
            </w:pPr>
            <w:r>
              <w:rPr>
                <w:color w:val="000000"/>
                <w:sz w:val="23"/>
                <w:szCs w:val="23"/>
              </w:rPr>
              <w:t>100,0</w:t>
            </w:r>
          </w:p>
        </w:tc>
        <w:tc>
          <w:tcPr>
            <w:tcW w:w="1134" w:type="dxa"/>
            <w:tcBorders>
              <w:top w:val="single" w:sz="4" w:space="0" w:color="auto"/>
              <w:left w:val="single" w:sz="4" w:space="0" w:color="auto"/>
              <w:bottom w:val="single" w:sz="4" w:space="0" w:color="auto"/>
              <w:right w:val="single" w:sz="4" w:space="0" w:color="auto"/>
            </w:tcBorders>
            <w:shd w:val="clear" w:color="000000" w:fill="FFFF52"/>
            <w:vAlign w:val="center"/>
          </w:tcPr>
          <w:p w:rsidR="00DC1467" w:rsidRDefault="00B70D3E">
            <w:pPr>
              <w:spacing w:line="240" w:lineRule="auto"/>
              <w:ind w:firstLine="0"/>
              <w:jc w:val="center"/>
              <w:rPr>
                <w:color w:val="000000"/>
                <w:sz w:val="23"/>
                <w:szCs w:val="23"/>
              </w:rPr>
            </w:pPr>
            <w:r>
              <w:rPr>
                <w:color w:val="000000"/>
                <w:sz w:val="23"/>
                <w:szCs w:val="23"/>
              </w:rPr>
              <w:t>43,4</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0,0</w:t>
            </w:r>
          </w:p>
        </w:tc>
        <w:tc>
          <w:tcPr>
            <w:tcW w:w="1276" w:type="dxa"/>
            <w:tcBorders>
              <w:top w:val="single" w:sz="4" w:space="0" w:color="auto"/>
              <w:left w:val="single" w:sz="4" w:space="0" w:color="auto"/>
              <w:bottom w:val="single" w:sz="4" w:space="0" w:color="auto"/>
              <w:right w:val="single" w:sz="4" w:space="0" w:color="auto"/>
            </w:tcBorders>
            <w:shd w:val="clear" w:color="000000" w:fill="FF4B4B"/>
            <w:vAlign w:val="center"/>
          </w:tcPr>
          <w:p w:rsidR="00DC1467" w:rsidRDefault="00B70D3E">
            <w:pPr>
              <w:spacing w:line="240" w:lineRule="auto"/>
              <w:ind w:firstLine="0"/>
              <w:jc w:val="center"/>
              <w:rPr>
                <w:color w:val="000000"/>
                <w:sz w:val="23"/>
                <w:szCs w:val="23"/>
              </w:rPr>
            </w:pPr>
            <w:r>
              <w:rPr>
                <w:color w:val="000000"/>
                <w:sz w:val="23"/>
                <w:szCs w:val="23"/>
              </w:rPr>
              <w:t>100,0</w:t>
            </w:r>
          </w:p>
        </w:tc>
        <w:tc>
          <w:tcPr>
            <w:tcW w:w="1275" w:type="dxa"/>
            <w:tcBorders>
              <w:top w:val="single" w:sz="4" w:space="0" w:color="auto"/>
              <w:left w:val="single" w:sz="4" w:space="0" w:color="auto"/>
              <w:bottom w:val="single" w:sz="4" w:space="0" w:color="auto"/>
              <w:right w:val="single" w:sz="4" w:space="0" w:color="auto"/>
            </w:tcBorders>
            <w:shd w:val="clear" w:color="000000" w:fill="FFFF52"/>
            <w:vAlign w:val="center"/>
          </w:tcPr>
          <w:p w:rsidR="00DC1467" w:rsidRDefault="00B70D3E">
            <w:pPr>
              <w:spacing w:line="240" w:lineRule="auto"/>
              <w:ind w:firstLine="0"/>
              <w:jc w:val="center"/>
              <w:rPr>
                <w:b/>
                <w:bCs/>
                <w:color w:val="000000"/>
                <w:sz w:val="23"/>
                <w:szCs w:val="23"/>
              </w:rPr>
            </w:pPr>
            <w:r>
              <w:rPr>
                <w:b/>
                <w:bCs/>
                <w:color w:val="000000"/>
                <w:sz w:val="23"/>
                <w:szCs w:val="23"/>
              </w:rPr>
              <w:t>30,4</w:t>
            </w:r>
          </w:p>
        </w:tc>
      </w:tr>
      <w:tr w:rsidR="00DC1467">
        <w:trPr>
          <w:trHeight w:val="227"/>
        </w:trPr>
        <w:tc>
          <w:tcPr>
            <w:tcW w:w="3134" w:type="dxa"/>
            <w:tcBorders>
              <w:top w:val="none" w:sz="4" w:space="0" w:color="000000"/>
              <w:left w:val="single" w:sz="4" w:space="0" w:color="auto"/>
              <w:bottom w:val="single" w:sz="4" w:space="0" w:color="auto"/>
              <w:right w:val="single" w:sz="4" w:space="0" w:color="auto"/>
            </w:tcBorders>
            <w:shd w:val="clear" w:color="auto" w:fill="auto"/>
            <w:vAlign w:val="center"/>
          </w:tcPr>
          <w:p w:rsidR="00DC1467" w:rsidRDefault="00B70D3E">
            <w:pPr>
              <w:spacing w:line="240" w:lineRule="auto"/>
              <w:ind w:firstLine="0"/>
              <w:jc w:val="left"/>
              <w:rPr>
                <w:color w:val="000000"/>
                <w:sz w:val="23"/>
                <w:szCs w:val="23"/>
              </w:rPr>
            </w:pPr>
            <w:r>
              <w:rPr>
                <w:color w:val="000000"/>
                <w:sz w:val="23"/>
                <w:szCs w:val="23"/>
              </w:rPr>
              <w:t>Нефтеюганский район</w:t>
            </w:r>
          </w:p>
        </w:tc>
        <w:tc>
          <w:tcPr>
            <w:tcW w:w="1417"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23,9</w:t>
            </w:r>
          </w:p>
        </w:tc>
        <w:tc>
          <w:tcPr>
            <w:tcW w:w="1134"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9,8</w:t>
            </w:r>
          </w:p>
        </w:tc>
        <w:tc>
          <w:tcPr>
            <w:tcW w:w="1418" w:type="dxa"/>
            <w:tcBorders>
              <w:top w:val="single" w:sz="4" w:space="0" w:color="auto"/>
              <w:left w:val="single" w:sz="4" w:space="0" w:color="auto"/>
              <w:bottom w:val="single" w:sz="4" w:space="0" w:color="auto"/>
              <w:right w:val="single" w:sz="4" w:space="0" w:color="auto"/>
            </w:tcBorders>
            <w:shd w:val="clear" w:color="000000" w:fill="FFFF52"/>
            <w:vAlign w:val="center"/>
          </w:tcPr>
          <w:p w:rsidR="00DC1467" w:rsidRDefault="00B70D3E">
            <w:pPr>
              <w:spacing w:line="240" w:lineRule="auto"/>
              <w:ind w:firstLine="0"/>
              <w:jc w:val="center"/>
              <w:rPr>
                <w:color w:val="000000"/>
                <w:sz w:val="23"/>
                <w:szCs w:val="23"/>
              </w:rPr>
            </w:pPr>
            <w:r>
              <w:rPr>
                <w:color w:val="000000"/>
                <w:sz w:val="23"/>
                <w:szCs w:val="23"/>
              </w:rPr>
              <w:t>26,0</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0,0</w:t>
            </w:r>
          </w:p>
        </w:tc>
        <w:tc>
          <w:tcPr>
            <w:tcW w:w="1417"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0,0</w:t>
            </w:r>
          </w:p>
        </w:tc>
        <w:tc>
          <w:tcPr>
            <w:tcW w:w="1134"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0,0</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0,0</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0,0</w:t>
            </w:r>
          </w:p>
        </w:tc>
        <w:tc>
          <w:tcPr>
            <w:tcW w:w="1275"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b/>
                <w:bCs/>
                <w:color w:val="000000"/>
                <w:sz w:val="23"/>
                <w:szCs w:val="23"/>
              </w:rPr>
            </w:pPr>
            <w:r>
              <w:rPr>
                <w:b/>
                <w:bCs/>
                <w:color w:val="000000"/>
                <w:sz w:val="23"/>
                <w:szCs w:val="23"/>
              </w:rPr>
              <w:t>7,5</w:t>
            </w:r>
          </w:p>
        </w:tc>
      </w:tr>
      <w:tr w:rsidR="00DC1467">
        <w:trPr>
          <w:trHeight w:val="227"/>
        </w:trPr>
        <w:tc>
          <w:tcPr>
            <w:tcW w:w="3134" w:type="dxa"/>
            <w:tcBorders>
              <w:top w:val="none" w:sz="4" w:space="0" w:color="000000"/>
              <w:left w:val="single" w:sz="4" w:space="0" w:color="auto"/>
              <w:bottom w:val="single" w:sz="4" w:space="0" w:color="auto"/>
              <w:right w:val="single" w:sz="4" w:space="0" w:color="auto"/>
            </w:tcBorders>
            <w:shd w:val="clear" w:color="auto" w:fill="auto"/>
            <w:vAlign w:val="center"/>
          </w:tcPr>
          <w:p w:rsidR="00DC1467" w:rsidRDefault="00B70D3E">
            <w:pPr>
              <w:spacing w:line="240" w:lineRule="auto"/>
              <w:ind w:firstLine="0"/>
              <w:jc w:val="left"/>
              <w:rPr>
                <w:color w:val="000000"/>
                <w:sz w:val="23"/>
                <w:szCs w:val="23"/>
              </w:rPr>
            </w:pPr>
            <w:r>
              <w:rPr>
                <w:color w:val="000000"/>
                <w:sz w:val="23"/>
                <w:szCs w:val="23"/>
              </w:rPr>
              <w:t>Нижневартовский район</w:t>
            </w:r>
          </w:p>
        </w:tc>
        <w:tc>
          <w:tcPr>
            <w:tcW w:w="1417" w:type="dxa"/>
            <w:tcBorders>
              <w:top w:val="single" w:sz="4" w:space="0" w:color="auto"/>
              <w:left w:val="single" w:sz="4" w:space="0" w:color="auto"/>
              <w:bottom w:val="single" w:sz="4" w:space="0" w:color="auto"/>
              <w:right w:val="single" w:sz="4" w:space="0" w:color="auto"/>
            </w:tcBorders>
            <w:shd w:val="clear" w:color="000000" w:fill="FFFF52"/>
            <w:vAlign w:val="center"/>
          </w:tcPr>
          <w:p w:rsidR="00DC1467" w:rsidRDefault="00B70D3E">
            <w:pPr>
              <w:spacing w:line="240" w:lineRule="auto"/>
              <w:ind w:firstLine="0"/>
              <w:jc w:val="center"/>
              <w:rPr>
                <w:color w:val="000000"/>
                <w:sz w:val="23"/>
                <w:szCs w:val="23"/>
              </w:rPr>
            </w:pPr>
            <w:r>
              <w:rPr>
                <w:color w:val="000000"/>
                <w:sz w:val="23"/>
                <w:szCs w:val="23"/>
              </w:rPr>
              <w:t>35,2</w:t>
            </w:r>
          </w:p>
        </w:tc>
        <w:tc>
          <w:tcPr>
            <w:tcW w:w="1134" w:type="dxa"/>
            <w:tcBorders>
              <w:top w:val="single" w:sz="4" w:space="0" w:color="auto"/>
              <w:left w:val="single" w:sz="4" w:space="0" w:color="auto"/>
              <w:bottom w:val="single" w:sz="4" w:space="0" w:color="auto"/>
              <w:right w:val="single" w:sz="4" w:space="0" w:color="auto"/>
            </w:tcBorders>
            <w:shd w:val="clear" w:color="000000" w:fill="FFFF52"/>
            <w:vAlign w:val="center"/>
          </w:tcPr>
          <w:p w:rsidR="00DC1467" w:rsidRDefault="00B70D3E">
            <w:pPr>
              <w:spacing w:line="240" w:lineRule="auto"/>
              <w:ind w:firstLine="0"/>
              <w:jc w:val="center"/>
              <w:rPr>
                <w:color w:val="000000"/>
                <w:sz w:val="23"/>
                <w:szCs w:val="23"/>
              </w:rPr>
            </w:pPr>
            <w:r>
              <w:rPr>
                <w:color w:val="000000"/>
                <w:sz w:val="23"/>
                <w:szCs w:val="23"/>
              </w:rPr>
              <w:t>35,6</w:t>
            </w:r>
          </w:p>
        </w:tc>
        <w:tc>
          <w:tcPr>
            <w:tcW w:w="1418" w:type="dxa"/>
            <w:tcBorders>
              <w:top w:val="single" w:sz="4" w:space="0" w:color="auto"/>
              <w:left w:val="single" w:sz="4" w:space="0" w:color="auto"/>
              <w:bottom w:val="single" w:sz="4" w:space="0" w:color="auto"/>
              <w:right w:val="single" w:sz="4" w:space="0" w:color="auto"/>
            </w:tcBorders>
            <w:shd w:val="clear" w:color="000000" w:fill="FFFF52"/>
            <w:vAlign w:val="center"/>
          </w:tcPr>
          <w:p w:rsidR="00DC1467" w:rsidRDefault="00B70D3E">
            <w:pPr>
              <w:spacing w:line="240" w:lineRule="auto"/>
              <w:ind w:firstLine="0"/>
              <w:jc w:val="center"/>
              <w:rPr>
                <w:color w:val="000000"/>
                <w:sz w:val="23"/>
                <w:szCs w:val="23"/>
              </w:rPr>
            </w:pPr>
            <w:r>
              <w:rPr>
                <w:color w:val="000000"/>
                <w:sz w:val="23"/>
                <w:szCs w:val="23"/>
              </w:rPr>
              <w:t>38,6</w:t>
            </w:r>
          </w:p>
        </w:tc>
        <w:tc>
          <w:tcPr>
            <w:tcW w:w="1276" w:type="dxa"/>
            <w:tcBorders>
              <w:top w:val="single" w:sz="4" w:space="0" w:color="auto"/>
              <w:left w:val="single" w:sz="4" w:space="0" w:color="auto"/>
              <w:bottom w:val="single" w:sz="4" w:space="0" w:color="auto"/>
              <w:right w:val="single" w:sz="4" w:space="0" w:color="auto"/>
            </w:tcBorders>
            <w:shd w:val="clear" w:color="000000" w:fill="FFFF52"/>
            <w:vAlign w:val="center"/>
          </w:tcPr>
          <w:p w:rsidR="00DC1467" w:rsidRDefault="00B70D3E">
            <w:pPr>
              <w:spacing w:line="240" w:lineRule="auto"/>
              <w:ind w:firstLine="0"/>
              <w:jc w:val="center"/>
              <w:rPr>
                <w:color w:val="000000"/>
                <w:sz w:val="23"/>
                <w:szCs w:val="23"/>
              </w:rPr>
            </w:pPr>
            <w:r>
              <w:rPr>
                <w:color w:val="000000"/>
                <w:sz w:val="23"/>
                <w:szCs w:val="23"/>
              </w:rPr>
              <w:t>47,5</w:t>
            </w:r>
          </w:p>
        </w:tc>
        <w:tc>
          <w:tcPr>
            <w:tcW w:w="1417" w:type="dxa"/>
            <w:tcBorders>
              <w:top w:val="single" w:sz="4" w:space="0" w:color="auto"/>
              <w:left w:val="single" w:sz="4" w:space="0" w:color="auto"/>
              <w:bottom w:val="single" w:sz="4" w:space="0" w:color="auto"/>
              <w:right w:val="single" w:sz="4" w:space="0" w:color="auto"/>
            </w:tcBorders>
            <w:shd w:val="clear" w:color="000000" w:fill="FFFF52"/>
            <w:vAlign w:val="center"/>
          </w:tcPr>
          <w:p w:rsidR="00DC1467" w:rsidRDefault="00B70D3E">
            <w:pPr>
              <w:spacing w:line="240" w:lineRule="auto"/>
              <w:ind w:firstLine="0"/>
              <w:jc w:val="center"/>
              <w:rPr>
                <w:color w:val="000000"/>
                <w:sz w:val="23"/>
                <w:szCs w:val="23"/>
              </w:rPr>
            </w:pPr>
            <w:r>
              <w:rPr>
                <w:color w:val="000000"/>
                <w:sz w:val="23"/>
                <w:szCs w:val="23"/>
              </w:rPr>
              <w:t>26,3</w:t>
            </w:r>
          </w:p>
        </w:tc>
        <w:tc>
          <w:tcPr>
            <w:tcW w:w="1134" w:type="dxa"/>
            <w:tcBorders>
              <w:top w:val="single" w:sz="4" w:space="0" w:color="auto"/>
              <w:left w:val="single" w:sz="4" w:space="0" w:color="auto"/>
              <w:bottom w:val="single" w:sz="4" w:space="0" w:color="auto"/>
              <w:right w:val="single" w:sz="4" w:space="0" w:color="auto"/>
            </w:tcBorders>
            <w:shd w:val="clear" w:color="000000" w:fill="E28700"/>
            <w:vAlign w:val="center"/>
          </w:tcPr>
          <w:p w:rsidR="00DC1467" w:rsidRDefault="00B70D3E">
            <w:pPr>
              <w:spacing w:line="240" w:lineRule="auto"/>
              <w:ind w:firstLine="0"/>
              <w:jc w:val="center"/>
              <w:rPr>
                <w:color w:val="000000"/>
                <w:sz w:val="23"/>
                <w:szCs w:val="23"/>
              </w:rPr>
            </w:pPr>
            <w:r>
              <w:rPr>
                <w:color w:val="000000"/>
                <w:sz w:val="23"/>
                <w:szCs w:val="23"/>
              </w:rPr>
              <w:t>51,3</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0,0</w:t>
            </w:r>
          </w:p>
        </w:tc>
        <w:tc>
          <w:tcPr>
            <w:tcW w:w="1276" w:type="dxa"/>
            <w:tcBorders>
              <w:top w:val="single" w:sz="4" w:space="0" w:color="auto"/>
              <w:left w:val="single" w:sz="4" w:space="0" w:color="auto"/>
              <w:bottom w:val="single" w:sz="4" w:space="0" w:color="auto"/>
              <w:right w:val="single" w:sz="4" w:space="0" w:color="auto"/>
            </w:tcBorders>
            <w:shd w:val="clear" w:color="000000" w:fill="FFFF52"/>
            <w:vAlign w:val="center"/>
          </w:tcPr>
          <w:p w:rsidR="00DC1467" w:rsidRDefault="00B70D3E">
            <w:pPr>
              <w:spacing w:line="240" w:lineRule="auto"/>
              <w:ind w:firstLine="0"/>
              <w:jc w:val="center"/>
              <w:rPr>
                <w:color w:val="000000"/>
                <w:sz w:val="23"/>
                <w:szCs w:val="23"/>
              </w:rPr>
            </w:pPr>
            <w:r>
              <w:rPr>
                <w:color w:val="000000"/>
                <w:sz w:val="23"/>
                <w:szCs w:val="23"/>
              </w:rPr>
              <w:t>26,3</w:t>
            </w:r>
          </w:p>
        </w:tc>
        <w:tc>
          <w:tcPr>
            <w:tcW w:w="1275" w:type="dxa"/>
            <w:tcBorders>
              <w:top w:val="single" w:sz="4" w:space="0" w:color="auto"/>
              <w:left w:val="single" w:sz="4" w:space="0" w:color="auto"/>
              <w:bottom w:val="single" w:sz="4" w:space="0" w:color="auto"/>
              <w:right w:val="single" w:sz="4" w:space="0" w:color="auto"/>
            </w:tcBorders>
            <w:shd w:val="clear" w:color="000000" w:fill="FFFF52"/>
            <w:vAlign w:val="center"/>
          </w:tcPr>
          <w:p w:rsidR="00DC1467" w:rsidRDefault="00B70D3E">
            <w:pPr>
              <w:spacing w:line="240" w:lineRule="auto"/>
              <w:ind w:firstLine="0"/>
              <w:jc w:val="center"/>
              <w:rPr>
                <w:b/>
                <w:bCs/>
                <w:color w:val="000000"/>
                <w:sz w:val="23"/>
                <w:szCs w:val="23"/>
              </w:rPr>
            </w:pPr>
            <w:r>
              <w:rPr>
                <w:b/>
                <w:bCs/>
                <w:color w:val="000000"/>
                <w:sz w:val="23"/>
                <w:szCs w:val="23"/>
              </w:rPr>
              <w:t>32,6</w:t>
            </w:r>
          </w:p>
        </w:tc>
      </w:tr>
      <w:tr w:rsidR="00DC1467">
        <w:trPr>
          <w:trHeight w:val="227"/>
        </w:trPr>
        <w:tc>
          <w:tcPr>
            <w:tcW w:w="3134" w:type="dxa"/>
            <w:tcBorders>
              <w:top w:val="none" w:sz="4" w:space="0" w:color="000000"/>
              <w:left w:val="single" w:sz="4" w:space="0" w:color="auto"/>
              <w:bottom w:val="single" w:sz="4" w:space="0" w:color="auto"/>
              <w:right w:val="single" w:sz="4" w:space="0" w:color="auto"/>
            </w:tcBorders>
            <w:shd w:val="clear" w:color="auto" w:fill="auto"/>
            <w:vAlign w:val="center"/>
          </w:tcPr>
          <w:p w:rsidR="00DC1467" w:rsidRDefault="00B70D3E">
            <w:pPr>
              <w:spacing w:line="240" w:lineRule="auto"/>
              <w:ind w:firstLine="0"/>
              <w:jc w:val="left"/>
              <w:rPr>
                <w:color w:val="000000"/>
                <w:sz w:val="23"/>
                <w:szCs w:val="23"/>
              </w:rPr>
            </w:pPr>
            <w:r>
              <w:rPr>
                <w:color w:val="000000"/>
                <w:sz w:val="23"/>
                <w:szCs w:val="23"/>
              </w:rPr>
              <w:t>Октябрьский район</w:t>
            </w:r>
          </w:p>
        </w:tc>
        <w:tc>
          <w:tcPr>
            <w:tcW w:w="1417"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11,8</w:t>
            </w:r>
          </w:p>
        </w:tc>
        <w:tc>
          <w:tcPr>
            <w:tcW w:w="1134"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0,0</w:t>
            </w:r>
          </w:p>
        </w:tc>
        <w:tc>
          <w:tcPr>
            <w:tcW w:w="1418"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12,9</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0,0</w:t>
            </w:r>
          </w:p>
        </w:tc>
        <w:tc>
          <w:tcPr>
            <w:tcW w:w="1417"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0,0</w:t>
            </w:r>
          </w:p>
        </w:tc>
        <w:tc>
          <w:tcPr>
            <w:tcW w:w="1134"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0,0</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0,0</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0,0</w:t>
            </w:r>
          </w:p>
        </w:tc>
        <w:tc>
          <w:tcPr>
            <w:tcW w:w="1275"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b/>
                <w:bCs/>
                <w:color w:val="000000"/>
                <w:sz w:val="23"/>
                <w:szCs w:val="23"/>
              </w:rPr>
            </w:pPr>
            <w:r>
              <w:rPr>
                <w:b/>
                <w:bCs/>
                <w:color w:val="000000"/>
                <w:sz w:val="23"/>
                <w:szCs w:val="23"/>
              </w:rPr>
              <w:t>3,1</w:t>
            </w:r>
          </w:p>
        </w:tc>
      </w:tr>
      <w:tr w:rsidR="00DC1467">
        <w:trPr>
          <w:trHeight w:val="227"/>
        </w:trPr>
        <w:tc>
          <w:tcPr>
            <w:tcW w:w="3134" w:type="dxa"/>
            <w:tcBorders>
              <w:top w:val="none" w:sz="4" w:space="0" w:color="000000"/>
              <w:left w:val="single" w:sz="4" w:space="0" w:color="auto"/>
              <w:bottom w:val="single" w:sz="4" w:space="0" w:color="auto"/>
              <w:right w:val="single" w:sz="4" w:space="0" w:color="auto"/>
            </w:tcBorders>
            <w:shd w:val="clear" w:color="auto" w:fill="auto"/>
            <w:vAlign w:val="center"/>
          </w:tcPr>
          <w:p w:rsidR="00DC1467" w:rsidRDefault="00B70D3E">
            <w:pPr>
              <w:spacing w:line="240" w:lineRule="auto"/>
              <w:ind w:firstLine="0"/>
              <w:jc w:val="left"/>
              <w:rPr>
                <w:color w:val="000000"/>
                <w:sz w:val="23"/>
                <w:szCs w:val="23"/>
              </w:rPr>
            </w:pPr>
            <w:r>
              <w:rPr>
                <w:color w:val="000000"/>
                <w:sz w:val="23"/>
                <w:szCs w:val="23"/>
              </w:rPr>
              <w:t>Советский район</w:t>
            </w:r>
          </w:p>
        </w:tc>
        <w:tc>
          <w:tcPr>
            <w:tcW w:w="1417"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19,6</w:t>
            </w:r>
          </w:p>
        </w:tc>
        <w:tc>
          <w:tcPr>
            <w:tcW w:w="1134"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0,0</w:t>
            </w:r>
          </w:p>
        </w:tc>
        <w:tc>
          <w:tcPr>
            <w:tcW w:w="1418"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24,0</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0,0</w:t>
            </w:r>
          </w:p>
        </w:tc>
        <w:tc>
          <w:tcPr>
            <w:tcW w:w="1417" w:type="dxa"/>
            <w:tcBorders>
              <w:top w:val="single" w:sz="4" w:space="0" w:color="auto"/>
              <w:left w:val="single" w:sz="4" w:space="0" w:color="auto"/>
              <w:bottom w:val="single" w:sz="4" w:space="0" w:color="auto"/>
              <w:right w:val="single" w:sz="4" w:space="0" w:color="auto"/>
            </w:tcBorders>
            <w:shd w:val="clear" w:color="000000" w:fill="FFFF52"/>
            <w:vAlign w:val="center"/>
          </w:tcPr>
          <w:p w:rsidR="00DC1467" w:rsidRDefault="00B70D3E">
            <w:pPr>
              <w:spacing w:line="240" w:lineRule="auto"/>
              <w:ind w:firstLine="0"/>
              <w:jc w:val="center"/>
              <w:rPr>
                <w:color w:val="000000"/>
                <w:sz w:val="23"/>
                <w:szCs w:val="23"/>
              </w:rPr>
            </w:pPr>
            <w:r>
              <w:rPr>
                <w:color w:val="000000"/>
                <w:sz w:val="23"/>
                <w:szCs w:val="23"/>
              </w:rPr>
              <w:t>32,7</w:t>
            </w:r>
          </w:p>
        </w:tc>
        <w:tc>
          <w:tcPr>
            <w:tcW w:w="1134"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14,2</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0,0</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0,0</w:t>
            </w:r>
          </w:p>
        </w:tc>
        <w:tc>
          <w:tcPr>
            <w:tcW w:w="1275"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b/>
                <w:bCs/>
                <w:color w:val="000000"/>
                <w:sz w:val="23"/>
                <w:szCs w:val="23"/>
              </w:rPr>
            </w:pPr>
            <w:r>
              <w:rPr>
                <w:b/>
                <w:bCs/>
                <w:color w:val="000000"/>
                <w:sz w:val="23"/>
                <w:szCs w:val="23"/>
              </w:rPr>
              <w:t>11,3</w:t>
            </w:r>
          </w:p>
        </w:tc>
      </w:tr>
      <w:tr w:rsidR="00DC1467">
        <w:trPr>
          <w:trHeight w:val="227"/>
        </w:trPr>
        <w:tc>
          <w:tcPr>
            <w:tcW w:w="3134" w:type="dxa"/>
            <w:tcBorders>
              <w:top w:val="none" w:sz="4" w:space="0" w:color="000000"/>
              <w:left w:val="single" w:sz="4" w:space="0" w:color="auto"/>
              <w:bottom w:val="single" w:sz="4" w:space="0" w:color="auto"/>
              <w:right w:val="single" w:sz="4" w:space="0" w:color="auto"/>
            </w:tcBorders>
            <w:shd w:val="clear" w:color="auto" w:fill="auto"/>
            <w:vAlign w:val="center"/>
          </w:tcPr>
          <w:p w:rsidR="00DC1467" w:rsidRDefault="00B70D3E">
            <w:pPr>
              <w:spacing w:line="240" w:lineRule="auto"/>
              <w:ind w:firstLine="0"/>
              <w:jc w:val="left"/>
              <w:rPr>
                <w:color w:val="000000"/>
                <w:sz w:val="23"/>
                <w:szCs w:val="23"/>
              </w:rPr>
            </w:pPr>
            <w:r>
              <w:rPr>
                <w:color w:val="000000"/>
                <w:sz w:val="23"/>
                <w:szCs w:val="23"/>
              </w:rPr>
              <w:t>Сургутский район</w:t>
            </w:r>
          </w:p>
        </w:tc>
        <w:tc>
          <w:tcPr>
            <w:tcW w:w="1417"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19,1</w:t>
            </w:r>
          </w:p>
        </w:tc>
        <w:tc>
          <w:tcPr>
            <w:tcW w:w="1134"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18,7</w:t>
            </w:r>
          </w:p>
        </w:tc>
        <w:tc>
          <w:tcPr>
            <w:tcW w:w="1418" w:type="dxa"/>
            <w:tcBorders>
              <w:top w:val="single" w:sz="4" w:space="0" w:color="auto"/>
              <w:left w:val="single" w:sz="4" w:space="0" w:color="auto"/>
              <w:bottom w:val="single" w:sz="4" w:space="0" w:color="auto"/>
              <w:right w:val="single" w:sz="4" w:space="0" w:color="auto"/>
            </w:tcBorders>
            <w:shd w:val="clear" w:color="000000" w:fill="FFFF52"/>
            <w:vAlign w:val="center"/>
          </w:tcPr>
          <w:p w:rsidR="00DC1467" w:rsidRDefault="00B70D3E">
            <w:pPr>
              <w:spacing w:line="240" w:lineRule="auto"/>
              <w:ind w:firstLine="0"/>
              <w:jc w:val="center"/>
              <w:rPr>
                <w:color w:val="000000"/>
                <w:sz w:val="23"/>
                <w:szCs w:val="23"/>
              </w:rPr>
            </w:pPr>
            <w:r>
              <w:rPr>
                <w:color w:val="000000"/>
                <w:sz w:val="23"/>
                <w:szCs w:val="23"/>
              </w:rPr>
              <w:t>26,1</w:t>
            </w:r>
          </w:p>
        </w:tc>
        <w:tc>
          <w:tcPr>
            <w:tcW w:w="1276" w:type="dxa"/>
            <w:tcBorders>
              <w:top w:val="single" w:sz="4" w:space="0" w:color="auto"/>
              <w:left w:val="single" w:sz="4" w:space="0" w:color="auto"/>
              <w:bottom w:val="single" w:sz="4" w:space="0" w:color="auto"/>
              <w:right w:val="single" w:sz="4" w:space="0" w:color="auto"/>
            </w:tcBorders>
            <w:shd w:val="clear" w:color="000000" w:fill="FFFF52"/>
            <w:vAlign w:val="center"/>
          </w:tcPr>
          <w:p w:rsidR="00DC1467" w:rsidRDefault="00B70D3E">
            <w:pPr>
              <w:spacing w:line="240" w:lineRule="auto"/>
              <w:ind w:firstLine="0"/>
              <w:jc w:val="center"/>
              <w:rPr>
                <w:color w:val="000000"/>
                <w:sz w:val="23"/>
                <w:szCs w:val="23"/>
              </w:rPr>
            </w:pPr>
            <w:r>
              <w:rPr>
                <w:color w:val="000000"/>
                <w:sz w:val="23"/>
                <w:szCs w:val="23"/>
              </w:rPr>
              <w:t>29,9</w:t>
            </w:r>
          </w:p>
        </w:tc>
        <w:tc>
          <w:tcPr>
            <w:tcW w:w="1417" w:type="dxa"/>
            <w:tcBorders>
              <w:top w:val="single" w:sz="4" w:space="0" w:color="auto"/>
              <w:left w:val="single" w:sz="4" w:space="0" w:color="auto"/>
              <w:bottom w:val="single" w:sz="4" w:space="0" w:color="auto"/>
              <w:right w:val="single" w:sz="4" w:space="0" w:color="auto"/>
            </w:tcBorders>
            <w:shd w:val="clear" w:color="000000" w:fill="FF4B4B"/>
            <w:vAlign w:val="center"/>
          </w:tcPr>
          <w:p w:rsidR="00DC1467" w:rsidRDefault="00B70D3E">
            <w:pPr>
              <w:spacing w:line="240" w:lineRule="auto"/>
              <w:ind w:firstLine="0"/>
              <w:jc w:val="center"/>
              <w:rPr>
                <w:color w:val="000000"/>
                <w:sz w:val="23"/>
                <w:szCs w:val="23"/>
              </w:rPr>
            </w:pPr>
            <w:r>
              <w:rPr>
                <w:color w:val="000000"/>
                <w:sz w:val="23"/>
                <w:szCs w:val="23"/>
              </w:rPr>
              <w:t>94,5</w:t>
            </w:r>
          </w:p>
        </w:tc>
        <w:tc>
          <w:tcPr>
            <w:tcW w:w="1134"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20,5</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0,0</w:t>
            </w:r>
          </w:p>
        </w:tc>
        <w:tc>
          <w:tcPr>
            <w:tcW w:w="1276" w:type="dxa"/>
            <w:tcBorders>
              <w:top w:val="single" w:sz="4" w:space="0" w:color="auto"/>
              <w:left w:val="single" w:sz="4" w:space="0" w:color="auto"/>
              <w:bottom w:val="single" w:sz="4" w:space="0" w:color="auto"/>
              <w:right w:val="single" w:sz="4" w:space="0" w:color="auto"/>
            </w:tcBorders>
            <w:shd w:val="clear" w:color="000000" w:fill="FFFF52"/>
            <w:vAlign w:val="center"/>
          </w:tcPr>
          <w:p w:rsidR="00DC1467" w:rsidRDefault="00B70D3E">
            <w:pPr>
              <w:spacing w:line="240" w:lineRule="auto"/>
              <w:ind w:firstLine="0"/>
              <w:jc w:val="center"/>
              <w:rPr>
                <w:color w:val="000000"/>
                <w:sz w:val="23"/>
                <w:szCs w:val="23"/>
              </w:rPr>
            </w:pPr>
            <w:r>
              <w:rPr>
                <w:color w:val="000000"/>
                <w:sz w:val="23"/>
                <w:szCs w:val="23"/>
              </w:rPr>
              <w:t>31,5</w:t>
            </w:r>
          </w:p>
        </w:tc>
        <w:tc>
          <w:tcPr>
            <w:tcW w:w="1275" w:type="dxa"/>
            <w:tcBorders>
              <w:top w:val="single" w:sz="4" w:space="0" w:color="auto"/>
              <w:left w:val="single" w:sz="4" w:space="0" w:color="auto"/>
              <w:bottom w:val="single" w:sz="4" w:space="0" w:color="auto"/>
              <w:right w:val="single" w:sz="4" w:space="0" w:color="auto"/>
            </w:tcBorders>
            <w:shd w:val="clear" w:color="000000" w:fill="FFFF52"/>
            <w:vAlign w:val="center"/>
          </w:tcPr>
          <w:p w:rsidR="00DC1467" w:rsidRDefault="00B70D3E">
            <w:pPr>
              <w:spacing w:line="240" w:lineRule="auto"/>
              <w:ind w:firstLine="0"/>
              <w:jc w:val="center"/>
              <w:rPr>
                <w:b/>
                <w:bCs/>
                <w:color w:val="000000"/>
                <w:sz w:val="23"/>
                <w:szCs w:val="23"/>
              </w:rPr>
            </w:pPr>
            <w:r>
              <w:rPr>
                <w:b/>
                <w:bCs/>
                <w:color w:val="000000"/>
                <w:sz w:val="23"/>
                <w:szCs w:val="23"/>
              </w:rPr>
              <w:t>30,0</w:t>
            </w:r>
          </w:p>
        </w:tc>
      </w:tr>
      <w:tr w:rsidR="00DC1467">
        <w:trPr>
          <w:trHeight w:val="227"/>
        </w:trPr>
        <w:tc>
          <w:tcPr>
            <w:tcW w:w="3134" w:type="dxa"/>
            <w:tcBorders>
              <w:top w:val="none" w:sz="4" w:space="0" w:color="000000"/>
              <w:left w:val="single" w:sz="4" w:space="0" w:color="auto"/>
              <w:bottom w:val="single" w:sz="4" w:space="0" w:color="auto"/>
              <w:right w:val="single" w:sz="4" w:space="0" w:color="auto"/>
            </w:tcBorders>
            <w:shd w:val="clear" w:color="auto" w:fill="auto"/>
            <w:vAlign w:val="center"/>
          </w:tcPr>
          <w:p w:rsidR="00DC1467" w:rsidRDefault="00B70D3E">
            <w:pPr>
              <w:spacing w:line="240" w:lineRule="auto"/>
              <w:ind w:firstLine="0"/>
              <w:jc w:val="left"/>
              <w:rPr>
                <w:color w:val="000000"/>
                <w:sz w:val="23"/>
                <w:szCs w:val="23"/>
              </w:rPr>
            </w:pPr>
            <w:r>
              <w:rPr>
                <w:color w:val="000000"/>
                <w:sz w:val="23"/>
                <w:szCs w:val="23"/>
              </w:rPr>
              <w:t>Ханты-Мансийский район</w:t>
            </w:r>
          </w:p>
        </w:tc>
        <w:tc>
          <w:tcPr>
            <w:tcW w:w="1417"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13,3</w:t>
            </w:r>
          </w:p>
        </w:tc>
        <w:tc>
          <w:tcPr>
            <w:tcW w:w="1134"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0,0</w:t>
            </w:r>
          </w:p>
        </w:tc>
        <w:tc>
          <w:tcPr>
            <w:tcW w:w="1418"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8,7</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0,0</w:t>
            </w:r>
          </w:p>
        </w:tc>
        <w:tc>
          <w:tcPr>
            <w:tcW w:w="1417" w:type="dxa"/>
            <w:tcBorders>
              <w:top w:val="single" w:sz="4" w:space="0" w:color="auto"/>
              <w:left w:val="single" w:sz="4" w:space="0" w:color="auto"/>
              <w:bottom w:val="single" w:sz="4" w:space="0" w:color="auto"/>
              <w:right w:val="single" w:sz="4" w:space="0" w:color="auto"/>
            </w:tcBorders>
            <w:shd w:val="clear" w:color="000000" w:fill="FF4B4B"/>
            <w:vAlign w:val="center"/>
          </w:tcPr>
          <w:p w:rsidR="00DC1467" w:rsidRDefault="00B70D3E">
            <w:pPr>
              <w:spacing w:line="240" w:lineRule="auto"/>
              <w:ind w:firstLine="0"/>
              <w:jc w:val="center"/>
              <w:rPr>
                <w:color w:val="000000"/>
                <w:sz w:val="23"/>
                <w:szCs w:val="23"/>
              </w:rPr>
            </w:pPr>
            <w:r>
              <w:rPr>
                <w:color w:val="000000"/>
                <w:sz w:val="23"/>
                <w:szCs w:val="23"/>
              </w:rPr>
              <w:t>80,3</w:t>
            </w:r>
          </w:p>
        </w:tc>
        <w:tc>
          <w:tcPr>
            <w:tcW w:w="1134" w:type="dxa"/>
            <w:tcBorders>
              <w:top w:val="single" w:sz="4" w:space="0" w:color="auto"/>
              <w:left w:val="single" w:sz="4" w:space="0" w:color="auto"/>
              <w:bottom w:val="single" w:sz="4" w:space="0" w:color="auto"/>
              <w:right w:val="single" w:sz="4" w:space="0" w:color="auto"/>
            </w:tcBorders>
            <w:shd w:val="clear" w:color="000000" w:fill="FFFF52"/>
            <w:vAlign w:val="center"/>
          </w:tcPr>
          <w:p w:rsidR="00DC1467" w:rsidRDefault="00B70D3E">
            <w:pPr>
              <w:spacing w:line="240" w:lineRule="auto"/>
              <w:ind w:firstLine="0"/>
              <w:jc w:val="center"/>
              <w:rPr>
                <w:color w:val="000000"/>
                <w:sz w:val="23"/>
                <w:szCs w:val="23"/>
              </w:rPr>
            </w:pPr>
            <w:r>
              <w:rPr>
                <w:color w:val="000000"/>
                <w:sz w:val="23"/>
                <w:szCs w:val="23"/>
              </w:rPr>
              <w:t>34,9</w:t>
            </w:r>
          </w:p>
        </w:tc>
        <w:tc>
          <w:tcPr>
            <w:tcW w:w="1276"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color w:val="000000"/>
                <w:sz w:val="23"/>
                <w:szCs w:val="23"/>
              </w:rPr>
            </w:pPr>
            <w:r>
              <w:rPr>
                <w:color w:val="000000"/>
                <w:sz w:val="23"/>
                <w:szCs w:val="23"/>
              </w:rPr>
              <w:t>0,0</w:t>
            </w:r>
          </w:p>
        </w:tc>
        <w:tc>
          <w:tcPr>
            <w:tcW w:w="1276" w:type="dxa"/>
            <w:tcBorders>
              <w:top w:val="single" w:sz="4" w:space="0" w:color="auto"/>
              <w:left w:val="single" w:sz="4" w:space="0" w:color="auto"/>
              <w:bottom w:val="single" w:sz="4" w:space="0" w:color="auto"/>
              <w:right w:val="single" w:sz="4" w:space="0" w:color="auto"/>
            </w:tcBorders>
            <w:shd w:val="clear" w:color="000000" w:fill="E28700"/>
            <w:vAlign w:val="center"/>
          </w:tcPr>
          <w:p w:rsidR="00DC1467" w:rsidRDefault="00B70D3E">
            <w:pPr>
              <w:spacing w:line="240" w:lineRule="auto"/>
              <w:ind w:firstLine="0"/>
              <w:jc w:val="center"/>
              <w:rPr>
                <w:color w:val="000000"/>
                <w:sz w:val="23"/>
                <w:szCs w:val="23"/>
              </w:rPr>
            </w:pPr>
            <w:r>
              <w:rPr>
                <w:color w:val="000000"/>
                <w:sz w:val="23"/>
                <w:szCs w:val="23"/>
              </w:rPr>
              <w:t>53,6</w:t>
            </w:r>
          </w:p>
        </w:tc>
        <w:tc>
          <w:tcPr>
            <w:tcW w:w="1275"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b/>
                <w:bCs/>
                <w:color w:val="000000"/>
                <w:sz w:val="23"/>
                <w:szCs w:val="23"/>
              </w:rPr>
            </w:pPr>
            <w:r>
              <w:rPr>
                <w:b/>
                <w:bCs/>
                <w:color w:val="000000"/>
                <w:sz w:val="23"/>
                <w:szCs w:val="23"/>
              </w:rPr>
              <w:t>23,8</w:t>
            </w:r>
          </w:p>
        </w:tc>
      </w:tr>
    </w:tbl>
    <w:p w:rsidR="00DC1467" w:rsidRDefault="00DC1467">
      <w:pPr>
        <w:spacing w:line="240" w:lineRule="auto"/>
        <w:ind w:firstLine="0"/>
        <w:jc w:val="center"/>
        <w:rPr>
          <w:rFonts w:eastAsia="Calibri"/>
          <w:b/>
          <w:color w:val="000000"/>
        </w:rPr>
      </w:pPr>
    </w:p>
    <w:p w:rsidR="00DC1467" w:rsidRDefault="00DC1467">
      <w:pPr>
        <w:tabs>
          <w:tab w:val="left" w:pos="3652"/>
          <w:tab w:val="left" w:pos="4786"/>
          <w:tab w:val="left" w:pos="5920"/>
          <w:tab w:val="left" w:pos="7054"/>
          <w:tab w:val="left" w:pos="8330"/>
          <w:tab w:val="left" w:pos="10456"/>
          <w:tab w:val="left" w:pos="11590"/>
          <w:tab w:val="left" w:pos="12724"/>
          <w:tab w:val="left" w:pos="13858"/>
        </w:tabs>
        <w:spacing w:line="240" w:lineRule="auto"/>
        <w:ind w:left="108" w:firstLine="0"/>
        <w:jc w:val="left"/>
        <w:rPr>
          <w:b/>
          <w:bCs/>
          <w:color w:val="000000"/>
          <w:sz w:val="12"/>
          <w:szCs w:val="12"/>
        </w:rPr>
      </w:pPr>
    </w:p>
    <w:p w:rsidR="00DC1467" w:rsidRDefault="00B70D3E">
      <w:pPr>
        <w:spacing w:line="240" w:lineRule="auto"/>
        <w:ind w:firstLine="709"/>
        <w:jc w:val="right"/>
      </w:pPr>
      <w:r>
        <w:rPr>
          <w:noProof/>
        </w:rPr>
        <mc:AlternateContent>
          <mc:Choice Requires="wpg">
            <w:drawing>
              <wp:inline distT="0" distB="0" distL="0" distR="0">
                <wp:extent cx="3627122" cy="823765"/>
                <wp:effectExtent l="0" t="0" r="0" b="0"/>
                <wp:docPr id="16"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Легенда 2022.png"/>
                        <pic:cNvPicPr>
                          <a:picLocks noChangeAspect="1"/>
                        </pic:cNvPicPr>
                      </pic:nvPicPr>
                      <pic:blipFill>
                        <a:blip r:embed="rId57"/>
                        <a:stretch/>
                      </pic:blipFill>
                      <pic:spPr bwMode="auto">
                        <a:xfrm>
                          <a:off x="0" y="0"/>
                          <a:ext cx="3693200" cy="838772"/>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 o:spid="_x0000_s15" type="#_x0000_t75" style="width:285.60pt;height:64.86pt;mso-wrap-distance-left:0.00pt;mso-wrap-distance-top:0.00pt;mso-wrap-distance-right:0.00pt;mso-wrap-distance-bottom:0.00pt;" stroked="false">
                <v:path textboxrect="0,0,0,0"/>
                <v:imagedata r:id="rId58" o:title=""/>
              </v:shape>
            </w:pict>
          </mc:Fallback>
        </mc:AlternateContent>
      </w:r>
    </w:p>
    <w:p w:rsidR="00DC1467" w:rsidRDefault="00DC1467">
      <w:pPr>
        <w:spacing w:line="240" w:lineRule="auto"/>
        <w:ind w:firstLine="709"/>
        <w:jc w:val="right"/>
      </w:pPr>
    </w:p>
    <w:p w:rsidR="00DC1467" w:rsidRDefault="00DC1467">
      <w:pPr>
        <w:spacing w:line="240" w:lineRule="auto"/>
        <w:ind w:firstLine="709"/>
        <w:sectPr w:rsidR="00DC1467">
          <w:pgSz w:w="16838" w:h="11906" w:orient="landscape"/>
          <w:pgMar w:top="1701" w:right="1134" w:bottom="851" w:left="1134" w:header="709" w:footer="709" w:gutter="0"/>
          <w:cols w:space="708"/>
          <w:docGrid w:linePitch="360"/>
        </w:sectPr>
      </w:pPr>
    </w:p>
    <w:p w:rsidR="00DC1467" w:rsidRDefault="00B70D3E">
      <w:pPr>
        <w:spacing w:line="240" w:lineRule="auto"/>
        <w:ind w:firstLine="0"/>
        <w:jc w:val="center"/>
      </w:pPr>
      <w:r>
        <w:rPr>
          <w:noProof/>
        </w:rPr>
        <mc:AlternateContent>
          <mc:Choice Requires="wpg">
            <w:drawing>
              <wp:inline distT="0" distB="0" distL="0" distR="0">
                <wp:extent cx="8807516" cy="5128548"/>
                <wp:effectExtent l="0" t="0" r="0" b="0"/>
                <wp:docPr id="17"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П1_Вовлеченность населения в Югре_2024.jpg"/>
                        <pic:cNvPicPr>
                          <a:picLocks noChangeAspect="1"/>
                        </pic:cNvPicPr>
                      </pic:nvPicPr>
                      <pic:blipFill>
                        <a:blip r:embed="rId59"/>
                        <a:stretch/>
                      </pic:blipFill>
                      <pic:spPr bwMode="auto">
                        <a:xfrm>
                          <a:off x="0" y="0"/>
                          <a:ext cx="8820487" cy="5136101"/>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 o:spid="_x0000_s16" type="#_x0000_t75" style="width:693.51pt;height:403.82pt;mso-wrap-distance-left:0.00pt;mso-wrap-distance-top:0.00pt;mso-wrap-distance-right:0.00pt;mso-wrap-distance-bottom:0.00pt;" stroked="false">
                <v:path textboxrect="0,0,0,0"/>
                <v:imagedata r:id="rId60" o:title=""/>
              </v:shape>
            </w:pict>
          </mc:Fallback>
        </mc:AlternateContent>
      </w:r>
    </w:p>
    <w:p w:rsidR="00DC1467" w:rsidRDefault="00B70D3E">
      <w:pPr>
        <w:spacing w:line="240" w:lineRule="auto"/>
        <w:ind w:firstLine="0"/>
        <w:jc w:val="center"/>
      </w:pPr>
      <w:r>
        <w:t>Рис.16. Критерий оценки развития наркоситуации по оценочному показателю наркоситуации</w:t>
      </w:r>
    </w:p>
    <w:p w:rsidR="00DC1467" w:rsidRDefault="00B70D3E">
      <w:pPr>
        <w:spacing w:line="240" w:lineRule="auto"/>
        <w:ind w:firstLine="0"/>
        <w:jc w:val="center"/>
        <w:rPr>
          <w:bCs/>
        </w:rPr>
      </w:pPr>
      <w:r>
        <w:rPr>
          <w:bCs/>
        </w:rPr>
        <w:t>«ОП1. Вовлеченность населения в незаконный оборот наркотиков» (картограмма)</w:t>
      </w:r>
    </w:p>
    <w:p w:rsidR="00DC1467" w:rsidRDefault="00DC1467">
      <w:pPr>
        <w:spacing w:line="240" w:lineRule="auto"/>
        <w:ind w:firstLine="0"/>
        <w:jc w:val="center"/>
        <w:rPr>
          <w:bCs/>
          <w:highlight w:val="yellow"/>
        </w:rPr>
      </w:pPr>
    </w:p>
    <w:p w:rsidR="00DC1467" w:rsidRDefault="00B70D3E">
      <w:pPr>
        <w:spacing w:line="240" w:lineRule="auto"/>
        <w:ind w:firstLine="0"/>
        <w:jc w:val="center"/>
        <w:rPr>
          <w:bCs/>
        </w:rPr>
      </w:pPr>
      <w:r>
        <w:rPr>
          <w:bCs/>
          <w:noProof/>
        </w:rPr>
        <mc:AlternateContent>
          <mc:Choice Requires="wpg">
            <w:drawing>
              <wp:inline distT="0" distB="0" distL="0" distR="0">
                <wp:extent cx="8767761" cy="5105400"/>
                <wp:effectExtent l="0" t="0" r="0" b="0"/>
                <wp:docPr id="18"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П2_Вовлеченность несовершеннолетних в Югре_2024.jpg"/>
                        <pic:cNvPicPr>
                          <a:picLocks noChangeAspect="1"/>
                        </pic:cNvPicPr>
                      </pic:nvPicPr>
                      <pic:blipFill>
                        <a:blip r:embed="rId61"/>
                        <a:stretch/>
                      </pic:blipFill>
                      <pic:spPr bwMode="auto">
                        <a:xfrm>
                          <a:off x="0" y="0"/>
                          <a:ext cx="8770771" cy="5107153"/>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 o:spid="_x0000_s17" type="#_x0000_t75" style="width:690.37pt;height:402.00pt;mso-wrap-distance-left:0.00pt;mso-wrap-distance-top:0.00pt;mso-wrap-distance-right:0.00pt;mso-wrap-distance-bottom:0.00pt;" stroked="false">
                <v:path textboxrect="0,0,0,0"/>
                <v:imagedata r:id="rId62" o:title=""/>
              </v:shape>
            </w:pict>
          </mc:Fallback>
        </mc:AlternateContent>
      </w:r>
    </w:p>
    <w:p w:rsidR="00DC1467" w:rsidRDefault="00B70D3E">
      <w:pPr>
        <w:spacing w:line="240" w:lineRule="auto"/>
        <w:ind w:firstLine="0"/>
        <w:jc w:val="center"/>
        <w:rPr>
          <w:bCs/>
        </w:rPr>
      </w:pPr>
      <w:r>
        <w:t>Рис. 17. Критерий оценки развития наркоситуации по оценочному показателю наркоситуации</w:t>
      </w:r>
    </w:p>
    <w:p w:rsidR="00DC1467" w:rsidRDefault="00B70D3E">
      <w:pPr>
        <w:spacing w:line="240" w:lineRule="auto"/>
        <w:ind w:firstLine="0"/>
        <w:jc w:val="center"/>
        <w:rPr>
          <w:bCs/>
        </w:rPr>
      </w:pPr>
      <w:r>
        <w:rPr>
          <w:bCs/>
        </w:rPr>
        <w:t>«ОП.2. Уровень вовлеченности несовершеннолетних в незаконный оборот наркотиков» (картограмма)</w:t>
      </w:r>
    </w:p>
    <w:p w:rsidR="00DC1467" w:rsidRDefault="00DC1467">
      <w:pPr>
        <w:spacing w:line="240" w:lineRule="auto"/>
        <w:ind w:firstLine="0"/>
        <w:jc w:val="center"/>
      </w:pPr>
    </w:p>
    <w:p w:rsidR="00DC1467" w:rsidRDefault="00B70D3E">
      <w:pPr>
        <w:spacing w:line="240" w:lineRule="auto"/>
        <w:ind w:firstLine="0"/>
        <w:jc w:val="center"/>
      </w:pPr>
      <w:r>
        <w:rPr>
          <w:noProof/>
        </w:rPr>
        <mc:AlternateContent>
          <mc:Choice Requires="wpg">
            <w:drawing>
              <wp:inline distT="0" distB="0" distL="0" distR="0">
                <wp:extent cx="8882265" cy="5172075"/>
                <wp:effectExtent l="0" t="0" r="0" b="0"/>
                <wp:docPr id="19"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П3_Криминогенность наркомании в Югре_2024.jpg"/>
                        <pic:cNvPicPr>
                          <a:picLocks noChangeAspect="1"/>
                        </pic:cNvPicPr>
                      </pic:nvPicPr>
                      <pic:blipFill>
                        <a:blip r:embed="rId63"/>
                        <a:stretch/>
                      </pic:blipFill>
                      <pic:spPr bwMode="auto">
                        <a:xfrm>
                          <a:off x="0" y="0"/>
                          <a:ext cx="8885314" cy="5173851"/>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 o:spid="_x0000_s18" type="#_x0000_t75" style="width:699.39pt;height:407.25pt;mso-wrap-distance-left:0.00pt;mso-wrap-distance-top:0.00pt;mso-wrap-distance-right:0.00pt;mso-wrap-distance-bottom:0.00pt;" stroked="false">
                <v:path textboxrect="0,0,0,0"/>
                <v:imagedata r:id="rId64" o:title=""/>
              </v:shape>
            </w:pict>
          </mc:Fallback>
        </mc:AlternateContent>
      </w:r>
    </w:p>
    <w:p w:rsidR="00DC1467" w:rsidRDefault="00B70D3E">
      <w:pPr>
        <w:spacing w:line="240" w:lineRule="auto"/>
        <w:ind w:firstLine="0"/>
        <w:jc w:val="center"/>
        <w:rPr>
          <w:bCs/>
        </w:rPr>
      </w:pPr>
      <w:r>
        <w:t>Рис. 18. Критерий оценки развития наркоситуации по оценочному показателю наркоситуации</w:t>
      </w:r>
    </w:p>
    <w:p w:rsidR="00DC1467" w:rsidRDefault="00B70D3E">
      <w:pPr>
        <w:spacing w:line="240" w:lineRule="auto"/>
        <w:ind w:firstLine="0"/>
        <w:jc w:val="center"/>
        <w:rPr>
          <w:bCs/>
        </w:rPr>
      </w:pPr>
      <w:r>
        <w:rPr>
          <w:bCs/>
        </w:rPr>
        <w:t>«ОП3. Криминогенность наркомании» (картограмма)</w:t>
      </w:r>
    </w:p>
    <w:p w:rsidR="00DC1467" w:rsidRDefault="00DC1467">
      <w:pPr>
        <w:spacing w:line="240" w:lineRule="auto"/>
        <w:ind w:firstLine="0"/>
        <w:jc w:val="center"/>
      </w:pPr>
    </w:p>
    <w:p w:rsidR="00DC1467" w:rsidRDefault="00B70D3E">
      <w:pPr>
        <w:spacing w:line="240" w:lineRule="auto"/>
        <w:ind w:firstLine="0"/>
        <w:jc w:val="center"/>
      </w:pPr>
      <w:r>
        <w:rPr>
          <w:noProof/>
        </w:rPr>
        <mc:AlternateContent>
          <mc:Choice Requires="wpg">
            <w:drawing>
              <wp:inline distT="0" distB="0" distL="0" distR="0">
                <wp:extent cx="8947696" cy="5210175"/>
                <wp:effectExtent l="0" t="0" r="6350" b="0"/>
                <wp:docPr id="20"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П4_Криминогенность наркомании несовершеннолетних в Югре_2024.jpg"/>
                        <pic:cNvPicPr>
                          <a:picLocks noChangeAspect="1"/>
                        </pic:cNvPicPr>
                      </pic:nvPicPr>
                      <pic:blipFill>
                        <a:blip r:embed="rId65"/>
                        <a:stretch/>
                      </pic:blipFill>
                      <pic:spPr bwMode="auto">
                        <a:xfrm>
                          <a:off x="0" y="0"/>
                          <a:ext cx="8950768" cy="5211964"/>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 o:spid="_x0000_s19" type="#_x0000_t75" style="width:704.54pt;height:410.25pt;mso-wrap-distance-left:0.00pt;mso-wrap-distance-top:0.00pt;mso-wrap-distance-right:0.00pt;mso-wrap-distance-bottom:0.00pt;" stroked="false">
                <v:path textboxrect="0,0,0,0"/>
                <v:imagedata r:id="rId66" o:title=""/>
              </v:shape>
            </w:pict>
          </mc:Fallback>
        </mc:AlternateContent>
      </w:r>
    </w:p>
    <w:p w:rsidR="00DC1467" w:rsidRDefault="00B70D3E">
      <w:pPr>
        <w:spacing w:line="240" w:lineRule="auto"/>
        <w:ind w:firstLine="0"/>
        <w:jc w:val="center"/>
        <w:rPr>
          <w:bCs/>
        </w:rPr>
      </w:pPr>
      <w:r>
        <w:t>Рис. 19. Критерий оце</w:t>
      </w:r>
      <w:r>
        <w:t>нки развития наркоситуации по оценочному показателю наркоситуации</w:t>
      </w:r>
    </w:p>
    <w:p w:rsidR="00DC1467" w:rsidRDefault="00B70D3E">
      <w:pPr>
        <w:spacing w:line="240" w:lineRule="auto"/>
        <w:ind w:firstLine="0"/>
        <w:jc w:val="center"/>
        <w:rPr>
          <w:bCs/>
        </w:rPr>
      </w:pPr>
      <w:r>
        <w:rPr>
          <w:bCs/>
        </w:rPr>
        <w:t>«ОП4. Уровень криминогенности наркомании среди несовершеннолетних» (картограмма)</w:t>
      </w:r>
    </w:p>
    <w:p w:rsidR="00DC1467" w:rsidRDefault="00DC1467">
      <w:pPr>
        <w:spacing w:line="240" w:lineRule="auto"/>
        <w:ind w:firstLine="0"/>
        <w:jc w:val="center"/>
      </w:pPr>
    </w:p>
    <w:p w:rsidR="00DC1467" w:rsidRDefault="00B70D3E">
      <w:pPr>
        <w:spacing w:line="240" w:lineRule="auto"/>
        <w:ind w:firstLine="0"/>
        <w:jc w:val="center"/>
      </w:pPr>
      <w:r>
        <w:rPr>
          <w:noProof/>
        </w:rPr>
        <mc:AlternateContent>
          <mc:Choice Requires="wpg">
            <w:drawing>
              <wp:inline distT="0" distB="0" distL="0" distR="0">
                <wp:extent cx="8865906" cy="5162550"/>
                <wp:effectExtent l="0" t="0" r="0" b="0"/>
                <wp:docPr id="21"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П7_Первичная заболеваемость в Югре_2024.jpg"/>
                        <pic:cNvPicPr>
                          <a:picLocks noChangeAspect="1"/>
                        </pic:cNvPicPr>
                      </pic:nvPicPr>
                      <pic:blipFill>
                        <a:blip r:embed="rId67"/>
                        <a:stretch/>
                      </pic:blipFill>
                      <pic:spPr bwMode="auto">
                        <a:xfrm>
                          <a:off x="0" y="0"/>
                          <a:ext cx="8877356" cy="5169217"/>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 o:spid="_x0000_s20" type="#_x0000_t75" style="width:698.10pt;height:406.50pt;mso-wrap-distance-left:0.00pt;mso-wrap-distance-top:0.00pt;mso-wrap-distance-right:0.00pt;mso-wrap-distance-bottom:0.00pt;" stroked="false">
                <v:path textboxrect="0,0,0,0"/>
                <v:imagedata r:id="rId68" o:title=""/>
              </v:shape>
            </w:pict>
          </mc:Fallback>
        </mc:AlternateContent>
      </w:r>
    </w:p>
    <w:p w:rsidR="00DC1467" w:rsidRDefault="00B70D3E">
      <w:pPr>
        <w:spacing w:line="240" w:lineRule="auto"/>
        <w:ind w:firstLine="0"/>
        <w:jc w:val="center"/>
        <w:rPr>
          <w:bCs/>
        </w:rPr>
      </w:pPr>
      <w:r>
        <w:t>Рис. 20. Критерий оценки развития наркоситуации по оценочному показателю наркоситуации</w:t>
      </w:r>
    </w:p>
    <w:p w:rsidR="00DC1467" w:rsidRDefault="00B70D3E">
      <w:pPr>
        <w:spacing w:line="240" w:lineRule="auto"/>
        <w:ind w:firstLine="0"/>
        <w:jc w:val="center"/>
        <w:rPr>
          <w:bCs/>
        </w:rPr>
      </w:pPr>
      <w:r>
        <w:rPr>
          <w:bCs/>
        </w:rPr>
        <w:t>«ОП7. У</w:t>
      </w:r>
      <w:r>
        <w:t>ровень перви</w:t>
      </w:r>
      <w:r>
        <w:t>чной заболеваемости наркоманией</w:t>
      </w:r>
      <w:r>
        <w:rPr>
          <w:bCs/>
        </w:rPr>
        <w:t>» (картограмма)</w:t>
      </w:r>
    </w:p>
    <w:p w:rsidR="00DC1467" w:rsidRDefault="00DC1467">
      <w:pPr>
        <w:spacing w:line="240" w:lineRule="auto"/>
        <w:ind w:firstLine="0"/>
        <w:jc w:val="center"/>
      </w:pPr>
    </w:p>
    <w:p w:rsidR="00DC1467" w:rsidRDefault="00B70D3E">
      <w:pPr>
        <w:spacing w:line="240" w:lineRule="auto"/>
        <w:ind w:firstLine="0"/>
        <w:jc w:val="center"/>
      </w:pPr>
      <w:r>
        <w:rPr>
          <w:noProof/>
        </w:rPr>
        <mc:AlternateContent>
          <mc:Choice Requires="wpg">
            <w:drawing>
              <wp:inline distT="0" distB="0" distL="0" distR="0">
                <wp:extent cx="8820150" cy="5135906"/>
                <wp:effectExtent l="0" t="0" r="0" b="7620"/>
                <wp:docPr id="22"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П8_Острые отравления наркотиками в Югре_2024.jpg"/>
                        <pic:cNvPicPr>
                          <a:picLocks noChangeAspect="1"/>
                        </pic:cNvPicPr>
                      </pic:nvPicPr>
                      <pic:blipFill>
                        <a:blip r:embed="rId69"/>
                        <a:stretch/>
                      </pic:blipFill>
                      <pic:spPr bwMode="auto">
                        <a:xfrm>
                          <a:off x="0" y="0"/>
                          <a:ext cx="8823178" cy="513766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 o:spid="_x0000_s21" type="#_x0000_t75" style="width:694.50pt;height:404.40pt;mso-wrap-distance-left:0.00pt;mso-wrap-distance-top:0.00pt;mso-wrap-distance-right:0.00pt;mso-wrap-distance-bottom:0.00pt;" stroked="false">
                <v:path textboxrect="0,0,0,0"/>
                <v:imagedata r:id="rId70" o:title=""/>
              </v:shape>
            </w:pict>
          </mc:Fallback>
        </mc:AlternateContent>
      </w:r>
    </w:p>
    <w:p w:rsidR="00DC1467" w:rsidRDefault="00B70D3E">
      <w:pPr>
        <w:spacing w:line="240" w:lineRule="auto"/>
        <w:ind w:firstLine="0"/>
        <w:jc w:val="center"/>
        <w:rPr>
          <w:bCs/>
        </w:rPr>
      </w:pPr>
      <w:r>
        <w:t>Рис. 21. Критерий оценки развития наркоситуации по оценочному показателю наркоситуации</w:t>
      </w:r>
    </w:p>
    <w:p w:rsidR="00DC1467" w:rsidRDefault="00B70D3E">
      <w:pPr>
        <w:spacing w:line="240" w:lineRule="auto"/>
        <w:ind w:firstLine="0"/>
        <w:jc w:val="center"/>
      </w:pPr>
      <w:r>
        <w:rPr>
          <w:bCs/>
        </w:rPr>
        <w:t>«ОП8. О</w:t>
      </w:r>
      <w:r>
        <w:t>стрые отравления наркотиками</w:t>
      </w:r>
      <w:r>
        <w:rPr>
          <w:bCs/>
        </w:rPr>
        <w:t>» (картограмма)</w:t>
      </w:r>
    </w:p>
    <w:p w:rsidR="00DC1467" w:rsidRDefault="00DC1467">
      <w:pPr>
        <w:spacing w:line="240" w:lineRule="auto"/>
        <w:ind w:firstLine="0"/>
        <w:jc w:val="center"/>
      </w:pPr>
    </w:p>
    <w:p w:rsidR="00DC1467" w:rsidRDefault="00B70D3E">
      <w:pPr>
        <w:spacing w:line="240" w:lineRule="auto"/>
        <w:ind w:firstLine="0"/>
        <w:jc w:val="center"/>
      </w:pPr>
      <w:r>
        <w:rPr>
          <w:noProof/>
        </w:rPr>
        <mc:AlternateContent>
          <mc:Choice Requires="wpg">
            <w:drawing>
              <wp:inline distT="0" distB="0" distL="0" distR="0">
                <wp:extent cx="8877300" cy="5169184"/>
                <wp:effectExtent l="0" t="0" r="0" b="0"/>
                <wp:docPr id="23"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П9_Острые отравления несовершеннолетних в Югре_2024.jpg"/>
                        <pic:cNvPicPr>
                          <a:picLocks noChangeAspect="1"/>
                        </pic:cNvPicPr>
                      </pic:nvPicPr>
                      <pic:blipFill>
                        <a:blip r:embed="rId71"/>
                        <a:stretch/>
                      </pic:blipFill>
                      <pic:spPr bwMode="auto">
                        <a:xfrm>
                          <a:off x="0" y="0"/>
                          <a:ext cx="8880347" cy="5170959"/>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 o:spid="_x0000_s22" type="#_x0000_t75" style="width:699.00pt;height:407.02pt;mso-wrap-distance-left:0.00pt;mso-wrap-distance-top:0.00pt;mso-wrap-distance-right:0.00pt;mso-wrap-distance-bottom:0.00pt;" stroked="false">
                <v:path textboxrect="0,0,0,0"/>
                <v:imagedata r:id="rId72" o:title=""/>
              </v:shape>
            </w:pict>
          </mc:Fallback>
        </mc:AlternateContent>
      </w:r>
    </w:p>
    <w:p w:rsidR="00DC1467" w:rsidRDefault="00B70D3E">
      <w:pPr>
        <w:spacing w:line="240" w:lineRule="auto"/>
        <w:ind w:firstLine="0"/>
        <w:jc w:val="center"/>
        <w:rPr>
          <w:bCs/>
        </w:rPr>
      </w:pPr>
      <w:r>
        <w:t>Рис. 22. Критерий оценки развития наркоситуации</w:t>
      </w:r>
      <w:r>
        <w:t xml:space="preserve"> по оценочному показателю наркоситуации</w:t>
      </w:r>
    </w:p>
    <w:p w:rsidR="00DC1467" w:rsidRDefault="00B70D3E">
      <w:pPr>
        <w:spacing w:line="240" w:lineRule="auto"/>
        <w:ind w:firstLine="0"/>
        <w:jc w:val="center"/>
        <w:rPr>
          <w:bCs/>
        </w:rPr>
      </w:pPr>
      <w:r>
        <w:rPr>
          <w:bCs/>
        </w:rPr>
        <w:t>«ОП9. О</w:t>
      </w:r>
      <w:r>
        <w:t>стрые отравления наркотиками среди несовершеннолетних</w:t>
      </w:r>
      <w:r>
        <w:rPr>
          <w:bCs/>
        </w:rPr>
        <w:t>» (картограмма)</w:t>
      </w:r>
    </w:p>
    <w:p w:rsidR="00DC1467" w:rsidRDefault="00DC1467">
      <w:pPr>
        <w:spacing w:line="240" w:lineRule="auto"/>
        <w:ind w:firstLine="0"/>
        <w:jc w:val="center"/>
      </w:pPr>
    </w:p>
    <w:p w:rsidR="00DC1467" w:rsidRDefault="00B70D3E">
      <w:pPr>
        <w:spacing w:line="240" w:lineRule="auto"/>
        <w:ind w:firstLine="0"/>
        <w:jc w:val="center"/>
      </w:pPr>
      <w:r>
        <w:rPr>
          <w:noProof/>
        </w:rPr>
        <mc:AlternateContent>
          <mc:Choice Requires="wpg">
            <w:drawing>
              <wp:inline distT="0" distB="0" distL="0" distR="0">
                <wp:extent cx="8833192" cy="5143500"/>
                <wp:effectExtent l="0" t="0" r="6350" b="0"/>
                <wp:docPr id="24"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П10_Смертность от наркотиков в Югре_2024.jpg"/>
                        <pic:cNvPicPr>
                          <a:picLocks noChangeAspect="1"/>
                        </pic:cNvPicPr>
                      </pic:nvPicPr>
                      <pic:blipFill>
                        <a:blip r:embed="rId73"/>
                        <a:stretch/>
                      </pic:blipFill>
                      <pic:spPr bwMode="auto">
                        <a:xfrm>
                          <a:off x="0" y="0"/>
                          <a:ext cx="8836224" cy="5145266"/>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 o:spid="_x0000_s23" type="#_x0000_t75" style="width:695.53pt;height:405.00pt;mso-wrap-distance-left:0.00pt;mso-wrap-distance-top:0.00pt;mso-wrap-distance-right:0.00pt;mso-wrap-distance-bottom:0.00pt;" stroked="false">
                <v:path textboxrect="0,0,0,0"/>
                <v:imagedata r:id="rId74" o:title=""/>
              </v:shape>
            </w:pict>
          </mc:Fallback>
        </mc:AlternateContent>
      </w:r>
    </w:p>
    <w:p w:rsidR="00DC1467" w:rsidRDefault="00B70D3E">
      <w:pPr>
        <w:spacing w:line="240" w:lineRule="auto"/>
        <w:ind w:firstLine="0"/>
        <w:jc w:val="center"/>
        <w:rPr>
          <w:bCs/>
        </w:rPr>
      </w:pPr>
      <w:r>
        <w:t>Рис. 23. Критерий оценки развития наркоситуации по оценочному показателю наркоситуации</w:t>
      </w:r>
    </w:p>
    <w:p w:rsidR="00DC1467" w:rsidRDefault="00B70D3E">
      <w:pPr>
        <w:spacing w:line="240" w:lineRule="auto"/>
        <w:ind w:firstLine="0"/>
        <w:jc w:val="center"/>
      </w:pPr>
      <w:r>
        <w:rPr>
          <w:bCs/>
        </w:rPr>
        <w:t>«ОП10. С</w:t>
      </w:r>
      <w:r>
        <w:t xml:space="preserve">мертность, связанная с острым отравлением </w:t>
      </w:r>
      <w:r>
        <w:t>наркотиками</w:t>
      </w:r>
      <w:r>
        <w:rPr>
          <w:bCs/>
        </w:rPr>
        <w:t>» (картограмма)</w:t>
      </w:r>
    </w:p>
    <w:p w:rsidR="00DC1467" w:rsidRDefault="00DC1467">
      <w:pPr>
        <w:spacing w:line="240" w:lineRule="auto"/>
        <w:ind w:firstLine="0"/>
        <w:jc w:val="center"/>
      </w:pPr>
    </w:p>
    <w:p w:rsidR="00DC1467" w:rsidRDefault="00B70D3E">
      <w:pPr>
        <w:spacing w:line="240" w:lineRule="auto"/>
        <w:ind w:firstLine="0"/>
        <w:jc w:val="center"/>
      </w:pPr>
      <w:r>
        <w:rPr>
          <w:noProof/>
        </w:rPr>
        <mc:AlternateContent>
          <mc:Choice Requires="wpg">
            <w:drawing>
              <wp:inline distT="0" distB="0" distL="0" distR="0">
                <wp:extent cx="8858250" cy="5158091"/>
                <wp:effectExtent l="0" t="0" r="0" b="5080"/>
                <wp:docPr id="25"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542971" name="ПрО_Предварительная оценка по Югре_2024.jpg"/>
                        <pic:cNvPicPr>
                          <a:picLocks noChangeAspect="1"/>
                        </pic:cNvPicPr>
                      </pic:nvPicPr>
                      <pic:blipFill>
                        <a:blip r:embed="rId75"/>
                        <a:stretch/>
                      </pic:blipFill>
                      <pic:spPr bwMode="auto">
                        <a:xfrm>
                          <a:off x="0" y="0"/>
                          <a:ext cx="8861290" cy="5159862"/>
                        </a:xfrm>
                        <a:prstGeom prst="rect">
                          <a:avLst/>
                        </a:prstGeom>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4" o:spid="_x0000_s24" type="#_x0000_t75" style="width:697.50pt;height:406.15pt;mso-wrap-distance-left:0.00pt;mso-wrap-distance-top:0.00pt;mso-wrap-distance-right:0.00pt;mso-wrap-distance-bottom:0.00pt;" stroked="false">
                <v:path textboxrect="0,0,0,0"/>
                <v:imagedata r:id="rId76" o:title=""/>
              </v:shape>
            </w:pict>
          </mc:Fallback>
        </mc:AlternateContent>
      </w:r>
    </w:p>
    <w:p w:rsidR="00DC1467" w:rsidRDefault="00B70D3E">
      <w:pPr>
        <w:spacing w:line="240" w:lineRule="auto"/>
        <w:ind w:firstLine="0"/>
        <w:jc w:val="center"/>
        <w:rPr>
          <w:bCs/>
        </w:rPr>
      </w:pPr>
      <w:r>
        <w:t>Рис. 24. Предварительная итоговая оценка наркоситуации в динамике</w:t>
      </w:r>
      <w:r>
        <w:rPr>
          <w:bCs/>
        </w:rPr>
        <w:t xml:space="preserve"> (картограмма)</w:t>
      </w:r>
    </w:p>
    <w:p w:rsidR="00DC1467" w:rsidRDefault="00DC1467">
      <w:pPr>
        <w:spacing w:line="240" w:lineRule="auto"/>
        <w:ind w:firstLine="0"/>
        <w:jc w:val="center"/>
        <w:rPr>
          <w:b/>
        </w:rPr>
        <w:sectPr w:rsidR="00DC1467">
          <w:pgSz w:w="16838" w:h="11906" w:orient="landscape"/>
          <w:pgMar w:top="1701" w:right="1134" w:bottom="851" w:left="1134" w:header="709" w:footer="709" w:gutter="0"/>
          <w:cols w:space="708"/>
          <w:docGrid w:linePitch="360"/>
        </w:sectPr>
      </w:pPr>
    </w:p>
    <w:p w:rsidR="00DC1467" w:rsidRDefault="00B70D3E">
      <w:pPr>
        <w:spacing w:line="240" w:lineRule="auto"/>
        <w:ind w:firstLine="709"/>
        <w:jc w:val="right"/>
      </w:pPr>
      <w:r>
        <w:t>Таблица 8</w:t>
      </w:r>
    </w:p>
    <w:p w:rsidR="00DC1467" w:rsidRDefault="00B70D3E">
      <w:pPr>
        <w:spacing w:line="240" w:lineRule="auto"/>
        <w:ind w:firstLine="0"/>
        <w:jc w:val="center"/>
        <w:rPr>
          <w:b/>
        </w:rPr>
      </w:pPr>
      <w:r>
        <w:rPr>
          <w:b/>
        </w:rPr>
        <w:t xml:space="preserve">Предварительная итоговая оценка наркоситуации в разрезе муниципальных образований </w:t>
      </w:r>
      <w:r>
        <w:rPr>
          <w:b/>
        </w:rPr>
        <w:br/>
        <w:t>ХМАО-Югры в динамике за 2022-</w:t>
      </w:r>
      <w:r>
        <w:rPr>
          <w:b/>
        </w:rPr>
        <w:t>2024 годы, в баллах</w:t>
      </w:r>
    </w:p>
    <w:tbl>
      <w:tblPr>
        <w:tblW w:w="14780" w:type="dxa"/>
        <w:tblInd w:w="93" w:type="dxa"/>
        <w:tblLook w:val="04A0" w:firstRow="1" w:lastRow="0" w:firstColumn="1" w:lastColumn="0" w:noHBand="0" w:noVBand="1"/>
      </w:tblPr>
      <w:tblGrid>
        <w:gridCol w:w="4540"/>
        <w:gridCol w:w="1840"/>
        <w:gridCol w:w="1840"/>
        <w:gridCol w:w="1840"/>
        <w:gridCol w:w="2360"/>
        <w:gridCol w:w="2360"/>
      </w:tblGrid>
      <w:tr w:rsidR="00DC1467">
        <w:trPr>
          <w:trHeight w:val="227"/>
        </w:trPr>
        <w:tc>
          <w:tcPr>
            <w:tcW w:w="4540" w:type="dxa"/>
            <w:vMerge w:val="restart"/>
            <w:tcBorders>
              <w:top w:val="single" w:sz="8" w:space="0" w:color="auto"/>
              <w:left w:val="single" w:sz="8" w:space="0" w:color="auto"/>
              <w:bottom w:val="single" w:sz="8" w:space="0" w:color="000000"/>
              <w:right w:val="none" w:sz="4" w:space="0" w:color="000000"/>
            </w:tcBorders>
            <w:shd w:val="clear" w:color="auto" w:fill="auto"/>
            <w:vAlign w:val="center"/>
          </w:tcPr>
          <w:p w:rsidR="00DC1467" w:rsidRDefault="00B70D3E">
            <w:pPr>
              <w:spacing w:line="240" w:lineRule="auto"/>
              <w:ind w:firstLine="0"/>
              <w:jc w:val="center"/>
              <w:rPr>
                <w:color w:val="000000"/>
                <w:sz w:val="23"/>
                <w:szCs w:val="23"/>
              </w:rPr>
            </w:pPr>
            <w:r>
              <w:rPr>
                <w:color w:val="000000"/>
                <w:sz w:val="23"/>
                <w:szCs w:val="23"/>
              </w:rPr>
              <w:t>Муниципальное образование</w:t>
            </w:r>
          </w:p>
        </w:tc>
        <w:tc>
          <w:tcPr>
            <w:tcW w:w="5520" w:type="dxa"/>
            <w:gridSpan w:val="3"/>
            <w:tcBorders>
              <w:top w:val="single" w:sz="8" w:space="0" w:color="auto"/>
              <w:left w:val="single" w:sz="8" w:space="0" w:color="auto"/>
              <w:bottom w:val="single" w:sz="4" w:space="0" w:color="auto"/>
              <w:right w:val="single" w:sz="8" w:space="0" w:color="000000"/>
            </w:tcBorders>
            <w:shd w:val="clear" w:color="auto" w:fill="auto"/>
            <w:vAlign w:val="center"/>
          </w:tcPr>
          <w:p w:rsidR="00DC1467" w:rsidRDefault="00B70D3E">
            <w:pPr>
              <w:spacing w:line="240" w:lineRule="auto"/>
              <w:ind w:firstLine="0"/>
              <w:jc w:val="center"/>
              <w:rPr>
                <w:b/>
                <w:bCs/>
                <w:color w:val="000000"/>
                <w:sz w:val="23"/>
                <w:szCs w:val="23"/>
              </w:rPr>
            </w:pPr>
            <w:r>
              <w:rPr>
                <w:b/>
                <w:bCs/>
                <w:color w:val="000000"/>
                <w:sz w:val="23"/>
                <w:szCs w:val="23"/>
              </w:rPr>
              <w:t>ПрО. Предварительная итоговая оценка</w:t>
            </w:r>
          </w:p>
        </w:tc>
        <w:tc>
          <w:tcPr>
            <w:tcW w:w="4720" w:type="dxa"/>
            <w:gridSpan w:val="2"/>
            <w:tcBorders>
              <w:top w:val="single" w:sz="8" w:space="0" w:color="auto"/>
              <w:left w:val="none" w:sz="4" w:space="0" w:color="000000"/>
              <w:bottom w:val="single" w:sz="4" w:space="0" w:color="auto"/>
              <w:right w:val="single" w:sz="8" w:space="0" w:color="000000"/>
            </w:tcBorders>
            <w:shd w:val="clear" w:color="auto" w:fill="auto"/>
            <w:vAlign w:val="center"/>
          </w:tcPr>
          <w:p w:rsidR="00DC1467" w:rsidRDefault="00B70D3E">
            <w:pPr>
              <w:spacing w:line="240" w:lineRule="auto"/>
              <w:ind w:firstLine="0"/>
              <w:jc w:val="center"/>
              <w:rPr>
                <w:b/>
                <w:bCs/>
                <w:color w:val="000000"/>
                <w:sz w:val="23"/>
                <w:szCs w:val="23"/>
              </w:rPr>
            </w:pPr>
            <w:r>
              <w:rPr>
                <w:b/>
                <w:bCs/>
                <w:color w:val="000000"/>
                <w:sz w:val="23"/>
                <w:szCs w:val="23"/>
              </w:rPr>
              <w:t>Динамика показателя за 2022-2024 гг.</w:t>
            </w:r>
          </w:p>
        </w:tc>
      </w:tr>
      <w:tr w:rsidR="00DC1467">
        <w:trPr>
          <w:trHeight w:val="227"/>
        </w:trPr>
        <w:tc>
          <w:tcPr>
            <w:tcW w:w="4540" w:type="dxa"/>
            <w:vMerge/>
            <w:tcBorders>
              <w:top w:val="single" w:sz="8" w:space="0" w:color="auto"/>
              <w:left w:val="single" w:sz="8" w:space="0" w:color="auto"/>
              <w:bottom w:val="single" w:sz="8" w:space="0" w:color="000000"/>
              <w:right w:val="none" w:sz="4" w:space="0" w:color="000000"/>
            </w:tcBorders>
            <w:vAlign w:val="center"/>
          </w:tcPr>
          <w:p w:rsidR="00DC1467" w:rsidRDefault="00DC1467">
            <w:pPr>
              <w:spacing w:line="240" w:lineRule="auto"/>
              <w:ind w:firstLine="0"/>
              <w:jc w:val="left"/>
              <w:rPr>
                <w:color w:val="000000"/>
                <w:sz w:val="23"/>
                <w:szCs w:val="23"/>
              </w:rPr>
            </w:pPr>
          </w:p>
        </w:tc>
        <w:tc>
          <w:tcPr>
            <w:tcW w:w="1840" w:type="dxa"/>
            <w:tcBorders>
              <w:top w:val="none" w:sz="4" w:space="0" w:color="000000"/>
              <w:left w:val="single" w:sz="8" w:space="0" w:color="auto"/>
              <w:bottom w:val="single" w:sz="4" w:space="0" w:color="auto"/>
              <w:right w:val="single" w:sz="4" w:space="0" w:color="auto"/>
            </w:tcBorders>
            <w:shd w:val="clear" w:color="auto" w:fill="auto"/>
            <w:vAlign w:val="center"/>
          </w:tcPr>
          <w:p w:rsidR="00DC1467" w:rsidRDefault="00B70D3E">
            <w:pPr>
              <w:spacing w:line="240" w:lineRule="auto"/>
              <w:ind w:firstLine="0"/>
              <w:jc w:val="center"/>
              <w:rPr>
                <w:color w:val="000000"/>
                <w:sz w:val="23"/>
                <w:szCs w:val="23"/>
              </w:rPr>
            </w:pPr>
            <w:r>
              <w:rPr>
                <w:color w:val="000000"/>
                <w:sz w:val="23"/>
                <w:szCs w:val="23"/>
              </w:rPr>
              <w:t>2022 год</w:t>
            </w:r>
          </w:p>
        </w:tc>
        <w:tc>
          <w:tcPr>
            <w:tcW w:w="1840" w:type="dxa"/>
            <w:tcBorders>
              <w:top w:val="single" w:sz="4" w:space="0" w:color="auto"/>
              <w:left w:val="none" w:sz="4" w:space="0" w:color="000000"/>
              <w:bottom w:val="single" w:sz="4" w:space="0" w:color="auto"/>
              <w:right w:val="single" w:sz="4" w:space="0" w:color="auto"/>
            </w:tcBorders>
            <w:shd w:val="clear" w:color="auto" w:fill="auto"/>
            <w:vAlign w:val="center"/>
          </w:tcPr>
          <w:p w:rsidR="00DC1467" w:rsidRDefault="00B70D3E">
            <w:pPr>
              <w:spacing w:line="240" w:lineRule="auto"/>
              <w:ind w:firstLine="0"/>
              <w:jc w:val="center"/>
              <w:rPr>
                <w:color w:val="000000"/>
                <w:sz w:val="23"/>
                <w:szCs w:val="23"/>
              </w:rPr>
            </w:pPr>
            <w:r>
              <w:rPr>
                <w:color w:val="000000"/>
                <w:sz w:val="23"/>
                <w:szCs w:val="23"/>
              </w:rPr>
              <w:t>2023 год</w:t>
            </w:r>
          </w:p>
        </w:tc>
        <w:tc>
          <w:tcPr>
            <w:tcW w:w="1840" w:type="dxa"/>
            <w:tcBorders>
              <w:top w:val="none" w:sz="4" w:space="0" w:color="000000"/>
              <w:left w:val="single" w:sz="4" w:space="0" w:color="auto"/>
              <w:bottom w:val="single" w:sz="4" w:space="0" w:color="auto"/>
              <w:right w:val="single" w:sz="8" w:space="0" w:color="auto"/>
            </w:tcBorders>
            <w:shd w:val="clear" w:color="auto" w:fill="auto"/>
            <w:vAlign w:val="center"/>
          </w:tcPr>
          <w:p w:rsidR="00DC1467" w:rsidRDefault="00B70D3E">
            <w:pPr>
              <w:spacing w:line="240" w:lineRule="auto"/>
              <w:ind w:firstLine="0"/>
              <w:jc w:val="center"/>
              <w:rPr>
                <w:color w:val="000000"/>
                <w:sz w:val="23"/>
                <w:szCs w:val="23"/>
              </w:rPr>
            </w:pPr>
            <w:r>
              <w:rPr>
                <w:color w:val="000000"/>
                <w:sz w:val="23"/>
                <w:szCs w:val="23"/>
              </w:rPr>
              <w:t>2024 год</w:t>
            </w:r>
          </w:p>
        </w:tc>
        <w:tc>
          <w:tcPr>
            <w:tcW w:w="2360" w:type="dxa"/>
            <w:tcBorders>
              <w:top w:val="none" w:sz="4" w:space="0" w:color="000000"/>
              <w:left w:val="none" w:sz="4" w:space="0" w:color="000000"/>
              <w:bottom w:val="single" w:sz="8" w:space="0" w:color="auto"/>
              <w:right w:val="single" w:sz="4" w:space="0" w:color="auto"/>
            </w:tcBorders>
            <w:shd w:val="clear" w:color="auto" w:fill="auto"/>
            <w:vAlign w:val="center"/>
          </w:tcPr>
          <w:p w:rsidR="00DC1467" w:rsidRDefault="00B70D3E">
            <w:pPr>
              <w:spacing w:line="240" w:lineRule="auto"/>
              <w:ind w:firstLine="0"/>
              <w:jc w:val="center"/>
              <w:rPr>
                <w:color w:val="000000"/>
                <w:sz w:val="23"/>
                <w:szCs w:val="23"/>
              </w:rPr>
            </w:pPr>
            <w:r>
              <w:rPr>
                <w:color w:val="000000"/>
                <w:sz w:val="23"/>
                <w:szCs w:val="23"/>
              </w:rPr>
              <w:t>2024 к значению 2023 года</w:t>
            </w:r>
          </w:p>
        </w:tc>
        <w:tc>
          <w:tcPr>
            <w:tcW w:w="2360" w:type="dxa"/>
            <w:tcBorders>
              <w:top w:val="none" w:sz="4" w:space="0" w:color="000000"/>
              <w:left w:val="single" w:sz="4" w:space="0" w:color="auto"/>
              <w:bottom w:val="single" w:sz="8" w:space="0" w:color="auto"/>
              <w:right w:val="single" w:sz="8" w:space="0" w:color="auto"/>
            </w:tcBorders>
            <w:shd w:val="clear" w:color="auto" w:fill="auto"/>
            <w:vAlign w:val="center"/>
          </w:tcPr>
          <w:p w:rsidR="00DC1467" w:rsidRDefault="00B70D3E">
            <w:pPr>
              <w:spacing w:line="240" w:lineRule="auto"/>
              <w:ind w:firstLine="0"/>
              <w:jc w:val="center"/>
              <w:rPr>
                <w:color w:val="000000"/>
                <w:sz w:val="23"/>
                <w:szCs w:val="23"/>
              </w:rPr>
            </w:pPr>
            <w:r>
              <w:rPr>
                <w:color w:val="000000"/>
                <w:sz w:val="23"/>
                <w:szCs w:val="23"/>
              </w:rPr>
              <w:t>2024 к значению 2022 года</w:t>
            </w:r>
          </w:p>
        </w:tc>
      </w:tr>
      <w:tr w:rsidR="00DC1467">
        <w:trPr>
          <w:trHeight w:val="227"/>
        </w:trPr>
        <w:tc>
          <w:tcPr>
            <w:tcW w:w="4540" w:type="dxa"/>
            <w:tcBorders>
              <w:top w:val="none" w:sz="4" w:space="0" w:color="000000"/>
              <w:left w:val="single" w:sz="4" w:space="0" w:color="auto"/>
              <w:bottom w:val="single" w:sz="4" w:space="0" w:color="auto"/>
              <w:right w:val="none" w:sz="4" w:space="0" w:color="000000"/>
            </w:tcBorders>
            <w:shd w:val="clear" w:color="auto" w:fill="auto"/>
            <w:vAlign w:val="center"/>
          </w:tcPr>
          <w:p w:rsidR="00DC1467" w:rsidRDefault="00B70D3E">
            <w:pPr>
              <w:spacing w:line="240" w:lineRule="auto"/>
              <w:ind w:firstLine="0"/>
              <w:jc w:val="left"/>
              <w:rPr>
                <w:b/>
                <w:bCs/>
                <w:color w:val="000000"/>
                <w:sz w:val="23"/>
                <w:szCs w:val="23"/>
              </w:rPr>
            </w:pPr>
            <w:r>
              <w:rPr>
                <w:b/>
                <w:bCs/>
                <w:color w:val="000000"/>
                <w:sz w:val="23"/>
                <w:szCs w:val="23"/>
              </w:rPr>
              <w:t>Ханты-Мансийский автономный округ - Югра</w:t>
            </w:r>
          </w:p>
        </w:tc>
        <w:tc>
          <w:tcPr>
            <w:tcW w:w="1840" w:type="dxa"/>
            <w:tcBorders>
              <w:top w:val="single" w:sz="4" w:space="0" w:color="auto"/>
              <w:left w:val="single" w:sz="8" w:space="0" w:color="auto"/>
              <w:bottom w:val="single" w:sz="4" w:space="0" w:color="auto"/>
              <w:right w:val="single" w:sz="4" w:space="0" w:color="auto"/>
            </w:tcBorders>
            <w:shd w:val="clear" w:color="000000" w:fill="FFFF52"/>
            <w:vAlign w:val="center"/>
          </w:tcPr>
          <w:p w:rsidR="00DC1467" w:rsidRDefault="00B70D3E">
            <w:pPr>
              <w:spacing w:line="240" w:lineRule="auto"/>
              <w:ind w:firstLine="0"/>
              <w:jc w:val="center"/>
              <w:rPr>
                <w:b/>
                <w:bCs/>
                <w:color w:val="000000"/>
                <w:sz w:val="23"/>
                <w:szCs w:val="23"/>
              </w:rPr>
            </w:pPr>
            <w:r>
              <w:rPr>
                <w:b/>
                <w:bCs/>
                <w:color w:val="000000"/>
                <w:sz w:val="23"/>
                <w:szCs w:val="23"/>
              </w:rPr>
              <w:t>26,8</w:t>
            </w:r>
          </w:p>
        </w:tc>
        <w:tc>
          <w:tcPr>
            <w:tcW w:w="1840"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b/>
                <w:bCs/>
                <w:color w:val="000000"/>
                <w:sz w:val="23"/>
                <w:szCs w:val="23"/>
              </w:rPr>
            </w:pPr>
            <w:r>
              <w:rPr>
                <w:b/>
                <w:bCs/>
                <w:color w:val="000000"/>
                <w:sz w:val="23"/>
                <w:szCs w:val="23"/>
              </w:rPr>
              <w:t>25,0</w:t>
            </w:r>
          </w:p>
        </w:tc>
        <w:tc>
          <w:tcPr>
            <w:tcW w:w="1840" w:type="dxa"/>
            <w:tcBorders>
              <w:top w:val="single" w:sz="4" w:space="0" w:color="auto"/>
              <w:left w:val="single" w:sz="4" w:space="0" w:color="auto"/>
              <w:bottom w:val="single" w:sz="4" w:space="0" w:color="auto"/>
              <w:right w:val="single" w:sz="8" w:space="0" w:color="auto"/>
            </w:tcBorders>
            <w:shd w:val="clear" w:color="000000" w:fill="AFDD7D"/>
            <w:vAlign w:val="center"/>
          </w:tcPr>
          <w:p w:rsidR="00DC1467" w:rsidRDefault="00B70D3E">
            <w:pPr>
              <w:spacing w:line="240" w:lineRule="auto"/>
              <w:ind w:firstLine="0"/>
              <w:jc w:val="center"/>
              <w:rPr>
                <w:b/>
                <w:bCs/>
                <w:color w:val="000000"/>
                <w:sz w:val="23"/>
                <w:szCs w:val="23"/>
              </w:rPr>
            </w:pPr>
            <w:r>
              <w:rPr>
                <w:b/>
                <w:bCs/>
                <w:color w:val="000000"/>
                <w:sz w:val="23"/>
                <w:szCs w:val="23"/>
              </w:rPr>
              <w:t>25,0</w:t>
            </w:r>
          </w:p>
        </w:tc>
        <w:tc>
          <w:tcPr>
            <w:tcW w:w="2360" w:type="dxa"/>
            <w:tcBorders>
              <w:top w:val="none" w:sz="4" w:space="0" w:color="000000"/>
              <w:left w:val="none" w:sz="4" w:space="0" w:color="000000"/>
              <w:bottom w:val="single" w:sz="4" w:space="0" w:color="auto"/>
              <w:right w:val="single" w:sz="4" w:space="0" w:color="auto"/>
            </w:tcBorders>
            <w:shd w:val="clear" w:color="auto" w:fill="auto"/>
            <w:vAlign w:val="center"/>
          </w:tcPr>
          <w:p w:rsidR="00DC1467" w:rsidRDefault="00B70D3E">
            <w:pPr>
              <w:spacing w:line="240" w:lineRule="auto"/>
              <w:ind w:firstLine="0"/>
              <w:jc w:val="center"/>
              <w:rPr>
                <w:b/>
                <w:bCs/>
                <w:color w:val="000000"/>
                <w:sz w:val="23"/>
                <w:szCs w:val="23"/>
              </w:rPr>
            </w:pPr>
            <w:r>
              <w:rPr>
                <w:b/>
                <w:bCs/>
                <w:color w:val="000000"/>
                <w:sz w:val="23"/>
                <w:szCs w:val="23"/>
              </w:rPr>
              <w:t>0,0</w:t>
            </w:r>
          </w:p>
        </w:tc>
        <w:tc>
          <w:tcPr>
            <w:tcW w:w="2360" w:type="dxa"/>
            <w:tcBorders>
              <w:top w:val="none" w:sz="4" w:space="0" w:color="000000"/>
              <w:left w:val="none" w:sz="4" w:space="0" w:color="000000"/>
              <w:bottom w:val="single" w:sz="4" w:space="0" w:color="auto"/>
              <w:right w:val="single" w:sz="8" w:space="0" w:color="auto"/>
            </w:tcBorders>
            <w:shd w:val="clear" w:color="auto" w:fill="auto"/>
            <w:vAlign w:val="center"/>
          </w:tcPr>
          <w:p w:rsidR="00DC1467" w:rsidRDefault="00B70D3E">
            <w:pPr>
              <w:spacing w:line="240" w:lineRule="auto"/>
              <w:ind w:firstLine="0"/>
              <w:jc w:val="center"/>
              <w:rPr>
                <w:b/>
                <w:bCs/>
                <w:color w:val="000000"/>
                <w:sz w:val="23"/>
                <w:szCs w:val="23"/>
              </w:rPr>
            </w:pPr>
            <w:r>
              <w:rPr>
                <w:b/>
                <w:bCs/>
                <w:color w:val="000000"/>
                <w:sz w:val="23"/>
                <w:szCs w:val="23"/>
              </w:rPr>
              <w:t>-1,8</w:t>
            </w:r>
          </w:p>
        </w:tc>
      </w:tr>
      <w:tr w:rsidR="00DC1467">
        <w:trPr>
          <w:trHeight w:val="227"/>
        </w:trPr>
        <w:tc>
          <w:tcPr>
            <w:tcW w:w="4540" w:type="dxa"/>
            <w:tcBorders>
              <w:top w:val="none" w:sz="4" w:space="0" w:color="000000"/>
              <w:left w:val="single" w:sz="4" w:space="0" w:color="auto"/>
              <w:bottom w:val="single" w:sz="4" w:space="0" w:color="auto"/>
              <w:right w:val="none" w:sz="4" w:space="0" w:color="000000"/>
            </w:tcBorders>
            <w:shd w:val="clear" w:color="auto" w:fill="auto"/>
            <w:vAlign w:val="center"/>
          </w:tcPr>
          <w:p w:rsidR="00DC1467" w:rsidRDefault="00B70D3E">
            <w:pPr>
              <w:spacing w:line="240" w:lineRule="auto"/>
              <w:ind w:firstLine="0"/>
              <w:jc w:val="left"/>
              <w:rPr>
                <w:color w:val="000000"/>
                <w:sz w:val="23"/>
                <w:szCs w:val="23"/>
              </w:rPr>
            </w:pPr>
            <w:r>
              <w:rPr>
                <w:color w:val="000000"/>
                <w:sz w:val="23"/>
                <w:szCs w:val="23"/>
              </w:rPr>
              <w:t>г. Ханты-Мансийск</w:t>
            </w:r>
          </w:p>
        </w:tc>
        <w:tc>
          <w:tcPr>
            <w:tcW w:w="1840" w:type="dxa"/>
            <w:tcBorders>
              <w:top w:val="single" w:sz="4" w:space="0" w:color="auto"/>
              <w:left w:val="single" w:sz="8" w:space="0" w:color="auto"/>
              <w:bottom w:val="single" w:sz="4" w:space="0" w:color="auto"/>
              <w:right w:val="single" w:sz="4" w:space="0" w:color="auto"/>
            </w:tcBorders>
            <w:shd w:val="clear" w:color="000000" w:fill="FFFF52"/>
            <w:vAlign w:val="center"/>
          </w:tcPr>
          <w:p w:rsidR="00DC1467" w:rsidRDefault="00B70D3E">
            <w:pPr>
              <w:spacing w:line="240" w:lineRule="auto"/>
              <w:ind w:firstLine="0"/>
              <w:jc w:val="center"/>
              <w:rPr>
                <w:b/>
                <w:bCs/>
                <w:color w:val="000000"/>
                <w:sz w:val="23"/>
                <w:szCs w:val="23"/>
              </w:rPr>
            </w:pPr>
            <w:r>
              <w:rPr>
                <w:b/>
                <w:bCs/>
                <w:color w:val="000000"/>
                <w:sz w:val="23"/>
                <w:szCs w:val="23"/>
              </w:rPr>
              <w:t>42,7</w:t>
            </w:r>
          </w:p>
        </w:tc>
        <w:tc>
          <w:tcPr>
            <w:tcW w:w="1840" w:type="dxa"/>
            <w:tcBorders>
              <w:top w:val="single" w:sz="4" w:space="0" w:color="auto"/>
              <w:left w:val="single" w:sz="4" w:space="0" w:color="auto"/>
              <w:bottom w:val="single" w:sz="4" w:space="0" w:color="auto"/>
              <w:right w:val="single" w:sz="4" w:space="0" w:color="auto"/>
            </w:tcBorders>
            <w:shd w:val="clear" w:color="000000" w:fill="FFFF52"/>
            <w:vAlign w:val="center"/>
          </w:tcPr>
          <w:p w:rsidR="00DC1467" w:rsidRDefault="00B70D3E">
            <w:pPr>
              <w:spacing w:line="240" w:lineRule="auto"/>
              <w:ind w:firstLine="0"/>
              <w:jc w:val="center"/>
              <w:rPr>
                <w:b/>
                <w:bCs/>
                <w:color w:val="000000"/>
                <w:sz w:val="23"/>
                <w:szCs w:val="23"/>
              </w:rPr>
            </w:pPr>
            <w:r>
              <w:rPr>
                <w:b/>
                <w:bCs/>
                <w:color w:val="000000"/>
                <w:sz w:val="23"/>
                <w:szCs w:val="23"/>
              </w:rPr>
              <w:t>37,8</w:t>
            </w:r>
          </w:p>
        </w:tc>
        <w:tc>
          <w:tcPr>
            <w:tcW w:w="1840" w:type="dxa"/>
            <w:tcBorders>
              <w:top w:val="single" w:sz="4" w:space="0" w:color="auto"/>
              <w:left w:val="single" w:sz="4" w:space="0" w:color="auto"/>
              <w:bottom w:val="single" w:sz="4" w:space="0" w:color="auto"/>
              <w:right w:val="single" w:sz="8" w:space="0" w:color="auto"/>
            </w:tcBorders>
            <w:shd w:val="clear" w:color="000000" w:fill="FFFF52"/>
            <w:vAlign w:val="center"/>
          </w:tcPr>
          <w:p w:rsidR="00DC1467" w:rsidRDefault="00B70D3E">
            <w:pPr>
              <w:spacing w:line="240" w:lineRule="auto"/>
              <w:ind w:firstLine="0"/>
              <w:jc w:val="center"/>
              <w:rPr>
                <w:b/>
                <w:bCs/>
                <w:color w:val="000000"/>
                <w:sz w:val="23"/>
                <w:szCs w:val="23"/>
              </w:rPr>
            </w:pPr>
            <w:r>
              <w:rPr>
                <w:b/>
                <w:bCs/>
                <w:color w:val="000000"/>
                <w:sz w:val="23"/>
                <w:szCs w:val="23"/>
              </w:rPr>
              <w:t>29,4</w:t>
            </w:r>
          </w:p>
        </w:tc>
        <w:tc>
          <w:tcPr>
            <w:tcW w:w="2360" w:type="dxa"/>
            <w:tcBorders>
              <w:top w:val="none" w:sz="4" w:space="0" w:color="000000"/>
              <w:left w:val="none" w:sz="4" w:space="0" w:color="000000"/>
              <w:bottom w:val="single" w:sz="4" w:space="0" w:color="auto"/>
              <w:right w:val="single" w:sz="4" w:space="0" w:color="auto"/>
            </w:tcBorders>
            <w:shd w:val="clear" w:color="auto" w:fill="auto"/>
            <w:vAlign w:val="center"/>
          </w:tcPr>
          <w:p w:rsidR="00DC1467" w:rsidRDefault="00B70D3E">
            <w:pPr>
              <w:spacing w:line="240" w:lineRule="auto"/>
              <w:ind w:firstLine="0"/>
              <w:jc w:val="center"/>
              <w:rPr>
                <w:b/>
                <w:bCs/>
                <w:color w:val="000000"/>
                <w:sz w:val="23"/>
                <w:szCs w:val="23"/>
              </w:rPr>
            </w:pPr>
            <w:r>
              <w:rPr>
                <w:b/>
                <w:bCs/>
                <w:color w:val="000000"/>
                <w:sz w:val="23"/>
                <w:szCs w:val="23"/>
              </w:rPr>
              <w:t>-8,4</w:t>
            </w:r>
          </w:p>
        </w:tc>
        <w:tc>
          <w:tcPr>
            <w:tcW w:w="2360" w:type="dxa"/>
            <w:tcBorders>
              <w:top w:val="none" w:sz="4" w:space="0" w:color="000000"/>
              <w:left w:val="none" w:sz="4" w:space="0" w:color="000000"/>
              <w:bottom w:val="single" w:sz="4" w:space="0" w:color="auto"/>
              <w:right w:val="single" w:sz="8" w:space="0" w:color="auto"/>
            </w:tcBorders>
            <w:shd w:val="clear" w:color="auto" w:fill="auto"/>
            <w:vAlign w:val="center"/>
          </w:tcPr>
          <w:p w:rsidR="00DC1467" w:rsidRDefault="00B70D3E">
            <w:pPr>
              <w:spacing w:line="240" w:lineRule="auto"/>
              <w:ind w:firstLine="0"/>
              <w:jc w:val="center"/>
              <w:rPr>
                <w:b/>
                <w:bCs/>
                <w:color w:val="000000"/>
                <w:sz w:val="23"/>
                <w:szCs w:val="23"/>
              </w:rPr>
            </w:pPr>
            <w:r>
              <w:rPr>
                <w:b/>
                <w:bCs/>
                <w:color w:val="000000"/>
                <w:sz w:val="23"/>
                <w:szCs w:val="23"/>
              </w:rPr>
              <w:t>-13,3</w:t>
            </w:r>
          </w:p>
        </w:tc>
      </w:tr>
      <w:tr w:rsidR="00DC1467">
        <w:trPr>
          <w:trHeight w:val="227"/>
        </w:trPr>
        <w:tc>
          <w:tcPr>
            <w:tcW w:w="4540" w:type="dxa"/>
            <w:tcBorders>
              <w:top w:val="none" w:sz="4" w:space="0" w:color="000000"/>
              <w:left w:val="single" w:sz="4" w:space="0" w:color="auto"/>
              <w:bottom w:val="single" w:sz="4" w:space="0" w:color="auto"/>
              <w:right w:val="none" w:sz="4" w:space="0" w:color="000000"/>
            </w:tcBorders>
            <w:shd w:val="clear" w:color="auto" w:fill="auto"/>
            <w:vAlign w:val="center"/>
          </w:tcPr>
          <w:p w:rsidR="00DC1467" w:rsidRDefault="00B70D3E">
            <w:pPr>
              <w:spacing w:line="240" w:lineRule="auto"/>
              <w:ind w:firstLine="0"/>
              <w:jc w:val="left"/>
              <w:rPr>
                <w:color w:val="000000"/>
                <w:sz w:val="23"/>
                <w:szCs w:val="23"/>
              </w:rPr>
            </w:pPr>
            <w:r>
              <w:rPr>
                <w:color w:val="000000"/>
                <w:sz w:val="23"/>
                <w:szCs w:val="23"/>
              </w:rPr>
              <w:t>г. Когалым</w:t>
            </w:r>
          </w:p>
        </w:tc>
        <w:tc>
          <w:tcPr>
            <w:tcW w:w="1840" w:type="dxa"/>
            <w:tcBorders>
              <w:top w:val="single" w:sz="4" w:space="0" w:color="auto"/>
              <w:left w:val="single" w:sz="8" w:space="0" w:color="auto"/>
              <w:bottom w:val="single" w:sz="4" w:space="0" w:color="auto"/>
              <w:right w:val="single" w:sz="4" w:space="0" w:color="auto"/>
            </w:tcBorders>
            <w:shd w:val="clear" w:color="000000" w:fill="FFFF52"/>
            <w:vAlign w:val="center"/>
          </w:tcPr>
          <w:p w:rsidR="00DC1467" w:rsidRDefault="00B70D3E">
            <w:pPr>
              <w:spacing w:line="240" w:lineRule="auto"/>
              <w:ind w:firstLine="0"/>
              <w:jc w:val="center"/>
              <w:rPr>
                <w:b/>
                <w:bCs/>
                <w:color w:val="000000"/>
                <w:sz w:val="23"/>
                <w:szCs w:val="23"/>
              </w:rPr>
            </w:pPr>
            <w:r>
              <w:rPr>
                <w:b/>
                <w:bCs/>
                <w:color w:val="000000"/>
                <w:sz w:val="23"/>
                <w:szCs w:val="23"/>
              </w:rPr>
              <w:t>26,8</w:t>
            </w:r>
          </w:p>
        </w:tc>
        <w:tc>
          <w:tcPr>
            <w:tcW w:w="1840" w:type="dxa"/>
            <w:tcBorders>
              <w:top w:val="single" w:sz="4" w:space="0" w:color="auto"/>
              <w:left w:val="single" w:sz="4" w:space="0" w:color="auto"/>
              <w:bottom w:val="single" w:sz="4" w:space="0" w:color="auto"/>
              <w:right w:val="single" w:sz="4" w:space="0" w:color="auto"/>
            </w:tcBorders>
            <w:shd w:val="clear" w:color="000000" w:fill="FFFF52"/>
            <w:vAlign w:val="center"/>
          </w:tcPr>
          <w:p w:rsidR="00DC1467" w:rsidRDefault="00B70D3E">
            <w:pPr>
              <w:spacing w:line="240" w:lineRule="auto"/>
              <w:ind w:firstLine="0"/>
              <w:jc w:val="center"/>
              <w:rPr>
                <w:b/>
                <w:bCs/>
                <w:color w:val="000000"/>
                <w:sz w:val="23"/>
                <w:szCs w:val="23"/>
              </w:rPr>
            </w:pPr>
            <w:r>
              <w:rPr>
                <w:b/>
                <w:bCs/>
                <w:color w:val="000000"/>
                <w:sz w:val="23"/>
                <w:szCs w:val="23"/>
              </w:rPr>
              <w:t>31,1</w:t>
            </w:r>
          </w:p>
        </w:tc>
        <w:tc>
          <w:tcPr>
            <w:tcW w:w="1840" w:type="dxa"/>
            <w:tcBorders>
              <w:top w:val="single" w:sz="4" w:space="0" w:color="auto"/>
              <w:left w:val="single" w:sz="4" w:space="0" w:color="auto"/>
              <w:bottom w:val="single" w:sz="4" w:space="0" w:color="auto"/>
              <w:right w:val="single" w:sz="8" w:space="0" w:color="auto"/>
            </w:tcBorders>
            <w:shd w:val="clear" w:color="000000" w:fill="FFFF52"/>
            <w:vAlign w:val="center"/>
          </w:tcPr>
          <w:p w:rsidR="00DC1467" w:rsidRDefault="00B70D3E">
            <w:pPr>
              <w:spacing w:line="240" w:lineRule="auto"/>
              <w:ind w:firstLine="0"/>
              <w:jc w:val="center"/>
              <w:rPr>
                <w:b/>
                <w:bCs/>
                <w:color w:val="000000"/>
                <w:sz w:val="23"/>
                <w:szCs w:val="23"/>
              </w:rPr>
            </w:pPr>
            <w:r>
              <w:rPr>
                <w:b/>
                <w:bCs/>
                <w:color w:val="000000"/>
                <w:sz w:val="23"/>
                <w:szCs w:val="23"/>
              </w:rPr>
              <w:t>29,3</w:t>
            </w:r>
          </w:p>
        </w:tc>
        <w:tc>
          <w:tcPr>
            <w:tcW w:w="2360" w:type="dxa"/>
            <w:tcBorders>
              <w:top w:val="none" w:sz="4" w:space="0" w:color="000000"/>
              <w:left w:val="none" w:sz="4" w:space="0" w:color="000000"/>
              <w:bottom w:val="single" w:sz="4" w:space="0" w:color="auto"/>
              <w:right w:val="single" w:sz="4" w:space="0" w:color="auto"/>
            </w:tcBorders>
            <w:shd w:val="clear" w:color="auto" w:fill="auto"/>
            <w:vAlign w:val="center"/>
          </w:tcPr>
          <w:p w:rsidR="00DC1467" w:rsidRDefault="00B70D3E">
            <w:pPr>
              <w:spacing w:line="240" w:lineRule="auto"/>
              <w:ind w:firstLine="0"/>
              <w:jc w:val="center"/>
              <w:rPr>
                <w:b/>
                <w:bCs/>
                <w:color w:val="000000"/>
                <w:sz w:val="23"/>
                <w:szCs w:val="23"/>
              </w:rPr>
            </w:pPr>
            <w:r>
              <w:rPr>
                <w:b/>
                <w:bCs/>
                <w:color w:val="000000"/>
                <w:sz w:val="23"/>
                <w:szCs w:val="23"/>
              </w:rPr>
              <w:t>-1,7</w:t>
            </w:r>
          </w:p>
        </w:tc>
        <w:tc>
          <w:tcPr>
            <w:tcW w:w="2360" w:type="dxa"/>
            <w:tcBorders>
              <w:top w:val="none" w:sz="4" w:space="0" w:color="000000"/>
              <w:left w:val="none" w:sz="4" w:space="0" w:color="000000"/>
              <w:bottom w:val="single" w:sz="4" w:space="0" w:color="auto"/>
              <w:right w:val="single" w:sz="8" w:space="0" w:color="auto"/>
            </w:tcBorders>
            <w:shd w:val="clear" w:color="auto" w:fill="auto"/>
            <w:vAlign w:val="center"/>
          </w:tcPr>
          <w:p w:rsidR="00DC1467" w:rsidRDefault="00B70D3E">
            <w:pPr>
              <w:spacing w:line="240" w:lineRule="auto"/>
              <w:ind w:firstLine="0"/>
              <w:jc w:val="center"/>
              <w:rPr>
                <w:b/>
                <w:bCs/>
                <w:color w:val="000000"/>
                <w:sz w:val="23"/>
                <w:szCs w:val="23"/>
              </w:rPr>
            </w:pPr>
            <w:r>
              <w:rPr>
                <w:b/>
                <w:bCs/>
                <w:color w:val="000000"/>
                <w:sz w:val="23"/>
                <w:szCs w:val="23"/>
              </w:rPr>
              <w:t>2,6</w:t>
            </w:r>
          </w:p>
        </w:tc>
      </w:tr>
      <w:tr w:rsidR="00DC1467">
        <w:trPr>
          <w:trHeight w:val="227"/>
        </w:trPr>
        <w:tc>
          <w:tcPr>
            <w:tcW w:w="4540" w:type="dxa"/>
            <w:tcBorders>
              <w:top w:val="none" w:sz="4" w:space="0" w:color="000000"/>
              <w:left w:val="single" w:sz="4" w:space="0" w:color="auto"/>
              <w:bottom w:val="single" w:sz="4" w:space="0" w:color="auto"/>
              <w:right w:val="none" w:sz="4" w:space="0" w:color="000000"/>
            </w:tcBorders>
            <w:shd w:val="clear" w:color="auto" w:fill="auto"/>
            <w:vAlign w:val="center"/>
          </w:tcPr>
          <w:p w:rsidR="00DC1467" w:rsidRDefault="00B70D3E">
            <w:pPr>
              <w:spacing w:line="240" w:lineRule="auto"/>
              <w:ind w:firstLine="0"/>
              <w:jc w:val="left"/>
              <w:rPr>
                <w:color w:val="000000"/>
                <w:sz w:val="23"/>
                <w:szCs w:val="23"/>
              </w:rPr>
            </w:pPr>
            <w:r>
              <w:rPr>
                <w:color w:val="000000"/>
                <w:sz w:val="23"/>
                <w:szCs w:val="23"/>
              </w:rPr>
              <w:t>г. Лангепас</w:t>
            </w:r>
          </w:p>
        </w:tc>
        <w:tc>
          <w:tcPr>
            <w:tcW w:w="1840" w:type="dxa"/>
            <w:tcBorders>
              <w:top w:val="single" w:sz="4" w:space="0" w:color="auto"/>
              <w:left w:val="single" w:sz="8" w:space="0" w:color="auto"/>
              <w:bottom w:val="single" w:sz="4" w:space="0" w:color="auto"/>
              <w:right w:val="single" w:sz="4" w:space="0" w:color="auto"/>
            </w:tcBorders>
            <w:shd w:val="clear" w:color="000000" w:fill="E28700"/>
            <w:vAlign w:val="center"/>
          </w:tcPr>
          <w:p w:rsidR="00DC1467" w:rsidRDefault="00B70D3E">
            <w:pPr>
              <w:spacing w:line="240" w:lineRule="auto"/>
              <w:ind w:firstLine="0"/>
              <w:jc w:val="center"/>
              <w:rPr>
                <w:b/>
                <w:bCs/>
                <w:color w:val="000000"/>
                <w:sz w:val="23"/>
                <w:szCs w:val="23"/>
              </w:rPr>
            </w:pPr>
            <w:r>
              <w:rPr>
                <w:b/>
                <w:bCs/>
                <w:color w:val="000000"/>
                <w:sz w:val="23"/>
                <w:szCs w:val="23"/>
              </w:rPr>
              <w:t>52,6</w:t>
            </w:r>
          </w:p>
        </w:tc>
        <w:tc>
          <w:tcPr>
            <w:tcW w:w="1840" w:type="dxa"/>
            <w:tcBorders>
              <w:top w:val="single" w:sz="4" w:space="0" w:color="auto"/>
              <w:left w:val="single" w:sz="4" w:space="0" w:color="auto"/>
              <w:bottom w:val="single" w:sz="4" w:space="0" w:color="auto"/>
              <w:right w:val="single" w:sz="4" w:space="0" w:color="auto"/>
            </w:tcBorders>
            <w:shd w:val="clear" w:color="000000" w:fill="E28700"/>
            <w:vAlign w:val="center"/>
          </w:tcPr>
          <w:p w:rsidR="00DC1467" w:rsidRDefault="00B70D3E">
            <w:pPr>
              <w:spacing w:line="240" w:lineRule="auto"/>
              <w:ind w:firstLine="0"/>
              <w:jc w:val="center"/>
              <w:rPr>
                <w:b/>
                <w:bCs/>
                <w:color w:val="000000"/>
                <w:sz w:val="23"/>
                <w:szCs w:val="23"/>
              </w:rPr>
            </w:pPr>
            <w:r>
              <w:rPr>
                <w:b/>
                <w:bCs/>
                <w:color w:val="000000"/>
                <w:sz w:val="23"/>
                <w:szCs w:val="23"/>
              </w:rPr>
              <w:t>72,2</w:t>
            </w:r>
          </w:p>
        </w:tc>
        <w:tc>
          <w:tcPr>
            <w:tcW w:w="1840" w:type="dxa"/>
            <w:tcBorders>
              <w:top w:val="single" w:sz="4" w:space="0" w:color="auto"/>
              <w:left w:val="single" w:sz="4" w:space="0" w:color="auto"/>
              <w:bottom w:val="single" w:sz="4" w:space="0" w:color="auto"/>
              <w:right w:val="single" w:sz="8" w:space="0" w:color="auto"/>
            </w:tcBorders>
            <w:shd w:val="clear" w:color="000000" w:fill="FFFF52"/>
            <w:vAlign w:val="center"/>
          </w:tcPr>
          <w:p w:rsidR="00DC1467" w:rsidRDefault="00B70D3E">
            <w:pPr>
              <w:spacing w:line="240" w:lineRule="auto"/>
              <w:ind w:firstLine="0"/>
              <w:jc w:val="center"/>
              <w:rPr>
                <w:b/>
                <w:bCs/>
                <w:color w:val="000000"/>
                <w:sz w:val="23"/>
                <w:szCs w:val="23"/>
              </w:rPr>
            </w:pPr>
            <w:r>
              <w:rPr>
                <w:b/>
                <w:bCs/>
                <w:color w:val="000000"/>
                <w:sz w:val="23"/>
                <w:szCs w:val="23"/>
              </w:rPr>
              <w:t>48,3</w:t>
            </w:r>
          </w:p>
        </w:tc>
        <w:tc>
          <w:tcPr>
            <w:tcW w:w="2360" w:type="dxa"/>
            <w:tcBorders>
              <w:top w:val="none" w:sz="4" w:space="0" w:color="000000"/>
              <w:left w:val="none" w:sz="4" w:space="0" w:color="000000"/>
              <w:bottom w:val="single" w:sz="4" w:space="0" w:color="auto"/>
              <w:right w:val="single" w:sz="4" w:space="0" w:color="auto"/>
            </w:tcBorders>
            <w:shd w:val="clear" w:color="auto" w:fill="auto"/>
            <w:vAlign w:val="center"/>
          </w:tcPr>
          <w:p w:rsidR="00DC1467" w:rsidRDefault="00B70D3E">
            <w:pPr>
              <w:spacing w:line="240" w:lineRule="auto"/>
              <w:ind w:firstLine="0"/>
              <w:jc w:val="center"/>
              <w:rPr>
                <w:b/>
                <w:bCs/>
                <w:color w:val="000000"/>
                <w:sz w:val="23"/>
                <w:szCs w:val="23"/>
              </w:rPr>
            </w:pPr>
            <w:r>
              <w:rPr>
                <w:b/>
                <w:bCs/>
                <w:color w:val="000000"/>
                <w:sz w:val="23"/>
                <w:szCs w:val="23"/>
              </w:rPr>
              <w:t>-24,0</w:t>
            </w:r>
          </w:p>
        </w:tc>
        <w:tc>
          <w:tcPr>
            <w:tcW w:w="2360" w:type="dxa"/>
            <w:tcBorders>
              <w:top w:val="none" w:sz="4" w:space="0" w:color="000000"/>
              <w:left w:val="none" w:sz="4" w:space="0" w:color="000000"/>
              <w:bottom w:val="single" w:sz="4" w:space="0" w:color="auto"/>
              <w:right w:val="single" w:sz="8" w:space="0" w:color="auto"/>
            </w:tcBorders>
            <w:shd w:val="clear" w:color="auto" w:fill="auto"/>
            <w:vAlign w:val="center"/>
          </w:tcPr>
          <w:p w:rsidR="00DC1467" w:rsidRDefault="00B70D3E">
            <w:pPr>
              <w:spacing w:line="240" w:lineRule="auto"/>
              <w:ind w:firstLine="0"/>
              <w:jc w:val="center"/>
              <w:rPr>
                <w:b/>
                <w:bCs/>
                <w:color w:val="000000"/>
                <w:sz w:val="23"/>
                <w:szCs w:val="23"/>
              </w:rPr>
            </w:pPr>
            <w:r>
              <w:rPr>
                <w:b/>
                <w:bCs/>
                <w:color w:val="000000"/>
                <w:sz w:val="23"/>
                <w:szCs w:val="23"/>
              </w:rPr>
              <w:t>-4,3</w:t>
            </w:r>
          </w:p>
        </w:tc>
      </w:tr>
      <w:tr w:rsidR="00DC1467">
        <w:trPr>
          <w:trHeight w:val="227"/>
        </w:trPr>
        <w:tc>
          <w:tcPr>
            <w:tcW w:w="4540" w:type="dxa"/>
            <w:tcBorders>
              <w:top w:val="none" w:sz="4" w:space="0" w:color="000000"/>
              <w:left w:val="single" w:sz="4" w:space="0" w:color="auto"/>
              <w:bottom w:val="single" w:sz="4" w:space="0" w:color="auto"/>
              <w:right w:val="none" w:sz="4" w:space="0" w:color="000000"/>
            </w:tcBorders>
            <w:shd w:val="clear" w:color="auto" w:fill="auto"/>
            <w:vAlign w:val="center"/>
          </w:tcPr>
          <w:p w:rsidR="00DC1467" w:rsidRDefault="00B70D3E">
            <w:pPr>
              <w:spacing w:line="240" w:lineRule="auto"/>
              <w:ind w:firstLine="0"/>
              <w:jc w:val="left"/>
              <w:rPr>
                <w:color w:val="000000"/>
                <w:sz w:val="23"/>
                <w:szCs w:val="23"/>
              </w:rPr>
            </w:pPr>
            <w:r>
              <w:rPr>
                <w:color w:val="000000"/>
                <w:sz w:val="23"/>
                <w:szCs w:val="23"/>
              </w:rPr>
              <w:t>г. Мегион</w:t>
            </w:r>
          </w:p>
        </w:tc>
        <w:tc>
          <w:tcPr>
            <w:tcW w:w="1840" w:type="dxa"/>
            <w:tcBorders>
              <w:top w:val="single" w:sz="4" w:space="0" w:color="auto"/>
              <w:left w:val="single" w:sz="8" w:space="0" w:color="auto"/>
              <w:bottom w:val="single" w:sz="4" w:space="0" w:color="auto"/>
              <w:right w:val="single" w:sz="4" w:space="0" w:color="auto"/>
            </w:tcBorders>
            <w:shd w:val="clear" w:color="000000" w:fill="FFFF52"/>
            <w:vAlign w:val="center"/>
          </w:tcPr>
          <w:p w:rsidR="00DC1467" w:rsidRDefault="00B70D3E">
            <w:pPr>
              <w:spacing w:line="240" w:lineRule="auto"/>
              <w:ind w:firstLine="0"/>
              <w:jc w:val="center"/>
              <w:rPr>
                <w:b/>
                <w:bCs/>
                <w:color w:val="000000"/>
                <w:sz w:val="23"/>
                <w:szCs w:val="23"/>
              </w:rPr>
            </w:pPr>
            <w:r>
              <w:rPr>
                <w:b/>
                <w:bCs/>
                <w:color w:val="000000"/>
                <w:sz w:val="23"/>
                <w:szCs w:val="23"/>
              </w:rPr>
              <w:t>45,8</w:t>
            </w:r>
          </w:p>
        </w:tc>
        <w:tc>
          <w:tcPr>
            <w:tcW w:w="1840" w:type="dxa"/>
            <w:tcBorders>
              <w:top w:val="single" w:sz="4" w:space="0" w:color="auto"/>
              <w:left w:val="single" w:sz="4" w:space="0" w:color="auto"/>
              <w:bottom w:val="single" w:sz="4" w:space="0" w:color="auto"/>
              <w:right w:val="single" w:sz="4" w:space="0" w:color="auto"/>
            </w:tcBorders>
            <w:shd w:val="clear" w:color="000000" w:fill="FFFF52"/>
            <w:vAlign w:val="center"/>
          </w:tcPr>
          <w:p w:rsidR="00DC1467" w:rsidRDefault="00B70D3E">
            <w:pPr>
              <w:spacing w:line="240" w:lineRule="auto"/>
              <w:ind w:firstLine="0"/>
              <w:jc w:val="center"/>
              <w:rPr>
                <w:b/>
                <w:bCs/>
                <w:color w:val="000000"/>
                <w:sz w:val="23"/>
                <w:szCs w:val="23"/>
              </w:rPr>
            </w:pPr>
            <w:r>
              <w:rPr>
                <w:b/>
                <w:bCs/>
                <w:color w:val="000000"/>
                <w:sz w:val="23"/>
                <w:szCs w:val="23"/>
              </w:rPr>
              <w:t>41,5</w:t>
            </w:r>
          </w:p>
        </w:tc>
        <w:tc>
          <w:tcPr>
            <w:tcW w:w="1840" w:type="dxa"/>
            <w:tcBorders>
              <w:top w:val="single" w:sz="4" w:space="0" w:color="auto"/>
              <w:left w:val="single" w:sz="4" w:space="0" w:color="auto"/>
              <w:bottom w:val="single" w:sz="4" w:space="0" w:color="auto"/>
              <w:right w:val="single" w:sz="8" w:space="0" w:color="auto"/>
            </w:tcBorders>
            <w:shd w:val="clear" w:color="000000" w:fill="FFFF52"/>
            <w:vAlign w:val="center"/>
          </w:tcPr>
          <w:p w:rsidR="00DC1467" w:rsidRDefault="00B70D3E">
            <w:pPr>
              <w:spacing w:line="240" w:lineRule="auto"/>
              <w:ind w:firstLine="0"/>
              <w:jc w:val="center"/>
              <w:rPr>
                <w:b/>
                <w:bCs/>
                <w:color w:val="000000"/>
                <w:sz w:val="23"/>
                <w:szCs w:val="23"/>
              </w:rPr>
            </w:pPr>
            <w:r>
              <w:rPr>
                <w:b/>
                <w:bCs/>
                <w:color w:val="000000"/>
                <w:sz w:val="23"/>
                <w:szCs w:val="23"/>
              </w:rPr>
              <w:t>47,1</w:t>
            </w:r>
          </w:p>
        </w:tc>
        <w:tc>
          <w:tcPr>
            <w:tcW w:w="2360" w:type="dxa"/>
            <w:tcBorders>
              <w:top w:val="none" w:sz="4" w:space="0" w:color="000000"/>
              <w:left w:val="none" w:sz="4" w:space="0" w:color="000000"/>
              <w:bottom w:val="single" w:sz="4" w:space="0" w:color="auto"/>
              <w:right w:val="single" w:sz="4" w:space="0" w:color="auto"/>
            </w:tcBorders>
            <w:shd w:val="clear" w:color="auto" w:fill="auto"/>
            <w:vAlign w:val="center"/>
          </w:tcPr>
          <w:p w:rsidR="00DC1467" w:rsidRDefault="00B70D3E">
            <w:pPr>
              <w:spacing w:line="240" w:lineRule="auto"/>
              <w:ind w:firstLine="0"/>
              <w:jc w:val="center"/>
              <w:rPr>
                <w:b/>
                <w:bCs/>
                <w:color w:val="000000"/>
                <w:sz w:val="23"/>
                <w:szCs w:val="23"/>
              </w:rPr>
            </w:pPr>
            <w:r>
              <w:rPr>
                <w:b/>
                <w:bCs/>
                <w:color w:val="000000"/>
                <w:sz w:val="23"/>
                <w:szCs w:val="23"/>
              </w:rPr>
              <w:t>5,5</w:t>
            </w:r>
          </w:p>
        </w:tc>
        <w:tc>
          <w:tcPr>
            <w:tcW w:w="2360" w:type="dxa"/>
            <w:tcBorders>
              <w:top w:val="none" w:sz="4" w:space="0" w:color="000000"/>
              <w:left w:val="none" w:sz="4" w:space="0" w:color="000000"/>
              <w:bottom w:val="single" w:sz="4" w:space="0" w:color="auto"/>
              <w:right w:val="single" w:sz="8" w:space="0" w:color="auto"/>
            </w:tcBorders>
            <w:shd w:val="clear" w:color="auto" w:fill="auto"/>
            <w:vAlign w:val="center"/>
          </w:tcPr>
          <w:p w:rsidR="00DC1467" w:rsidRDefault="00B70D3E">
            <w:pPr>
              <w:spacing w:line="240" w:lineRule="auto"/>
              <w:ind w:firstLine="0"/>
              <w:jc w:val="center"/>
              <w:rPr>
                <w:b/>
                <w:bCs/>
                <w:color w:val="000000"/>
                <w:sz w:val="23"/>
                <w:szCs w:val="23"/>
              </w:rPr>
            </w:pPr>
            <w:r>
              <w:rPr>
                <w:b/>
                <w:bCs/>
                <w:color w:val="000000"/>
                <w:sz w:val="23"/>
                <w:szCs w:val="23"/>
              </w:rPr>
              <w:t>1,2</w:t>
            </w:r>
          </w:p>
        </w:tc>
      </w:tr>
      <w:tr w:rsidR="00DC1467">
        <w:trPr>
          <w:trHeight w:val="227"/>
        </w:trPr>
        <w:tc>
          <w:tcPr>
            <w:tcW w:w="4540" w:type="dxa"/>
            <w:tcBorders>
              <w:top w:val="none" w:sz="4" w:space="0" w:color="000000"/>
              <w:left w:val="single" w:sz="4" w:space="0" w:color="auto"/>
              <w:bottom w:val="single" w:sz="4" w:space="0" w:color="auto"/>
              <w:right w:val="none" w:sz="4" w:space="0" w:color="000000"/>
            </w:tcBorders>
            <w:shd w:val="clear" w:color="auto" w:fill="auto"/>
            <w:vAlign w:val="center"/>
          </w:tcPr>
          <w:p w:rsidR="00DC1467" w:rsidRDefault="00B70D3E">
            <w:pPr>
              <w:spacing w:line="240" w:lineRule="auto"/>
              <w:ind w:firstLine="0"/>
              <w:jc w:val="left"/>
              <w:rPr>
                <w:color w:val="000000"/>
                <w:sz w:val="23"/>
                <w:szCs w:val="23"/>
              </w:rPr>
            </w:pPr>
            <w:r>
              <w:rPr>
                <w:color w:val="000000"/>
                <w:sz w:val="23"/>
                <w:szCs w:val="23"/>
              </w:rPr>
              <w:t>г. Нефтеюганск</w:t>
            </w:r>
          </w:p>
        </w:tc>
        <w:tc>
          <w:tcPr>
            <w:tcW w:w="1840" w:type="dxa"/>
            <w:tcBorders>
              <w:top w:val="single" w:sz="4" w:space="0" w:color="auto"/>
              <w:left w:val="single" w:sz="8"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b/>
                <w:bCs/>
                <w:color w:val="000000"/>
                <w:sz w:val="23"/>
                <w:szCs w:val="23"/>
              </w:rPr>
            </w:pPr>
            <w:r>
              <w:rPr>
                <w:b/>
                <w:bCs/>
                <w:color w:val="000000"/>
                <w:sz w:val="23"/>
                <w:szCs w:val="23"/>
              </w:rPr>
              <w:t>17,2</w:t>
            </w:r>
          </w:p>
        </w:tc>
        <w:tc>
          <w:tcPr>
            <w:tcW w:w="1840"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b/>
                <w:bCs/>
                <w:color w:val="000000"/>
                <w:sz w:val="23"/>
                <w:szCs w:val="23"/>
              </w:rPr>
            </w:pPr>
            <w:r>
              <w:rPr>
                <w:b/>
                <w:bCs/>
                <w:color w:val="000000"/>
                <w:sz w:val="23"/>
                <w:szCs w:val="23"/>
              </w:rPr>
              <w:t>16,8</w:t>
            </w:r>
          </w:p>
        </w:tc>
        <w:tc>
          <w:tcPr>
            <w:tcW w:w="1840" w:type="dxa"/>
            <w:tcBorders>
              <w:top w:val="single" w:sz="4" w:space="0" w:color="auto"/>
              <w:left w:val="single" w:sz="4" w:space="0" w:color="auto"/>
              <w:bottom w:val="single" w:sz="4" w:space="0" w:color="auto"/>
              <w:right w:val="single" w:sz="8" w:space="0" w:color="auto"/>
            </w:tcBorders>
            <w:shd w:val="clear" w:color="000000" w:fill="AFDD7D"/>
            <w:vAlign w:val="center"/>
          </w:tcPr>
          <w:p w:rsidR="00DC1467" w:rsidRDefault="00B70D3E">
            <w:pPr>
              <w:spacing w:line="240" w:lineRule="auto"/>
              <w:ind w:firstLine="0"/>
              <w:jc w:val="center"/>
              <w:rPr>
                <w:b/>
                <w:bCs/>
                <w:color w:val="000000"/>
                <w:sz w:val="23"/>
                <w:szCs w:val="23"/>
              </w:rPr>
            </w:pPr>
            <w:r>
              <w:rPr>
                <w:b/>
                <w:bCs/>
                <w:color w:val="000000"/>
                <w:sz w:val="23"/>
                <w:szCs w:val="23"/>
              </w:rPr>
              <w:t>11,6</w:t>
            </w:r>
          </w:p>
        </w:tc>
        <w:tc>
          <w:tcPr>
            <w:tcW w:w="2360" w:type="dxa"/>
            <w:tcBorders>
              <w:top w:val="none" w:sz="4" w:space="0" w:color="000000"/>
              <w:left w:val="none" w:sz="4" w:space="0" w:color="000000"/>
              <w:bottom w:val="single" w:sz="4" w:space="0" w:color="auto"/>
              <w:right w:val="single" w:sz="4" w:space="0" w:color="auto"/>
            </w:tcBorders>
            <w:shd w:val="clear" w:color="auto" w:fill="auto"/>
            <w:vAlign w:val="center"/>
          </w:tcPr>
          <w:p w:rsidR="00DC1467" w:rsidRDefault="00B70D3E">
            <w:pPr>
              <w:spacing w:line="240" w:lineRule="auto"/>
              <w:ind w:firstLine="0"/>
              <w:jc w:val="center"/>
              <w:rPr>
                <w:b/>
                <w:bCs/>
                <w:color w:val="000000"/>
                <w:sz w:val="23"/>
                <w:szCs w:val="23"/>
              </w:rPr>
            </w:pPr>
            <w:r>
              <w:rPr>
                <w:b/>
                <w:bCs/>
                <w:color w:val="000000"/>
                <w:sz w:val="23"/>
                <w:szCs w:val="23"/>
              </w:rPr>
              <w:t>-5,2</w:t>
            </w:r>
          </w:p>
        </w:tc>
        <w:tc>
          <w:tcPr>
            <w:tcW w:w="2360" w:type="dxa"/>
            <w:tcBorders>
              <w:top w:val="none" w:sz="4" w:space="0" w:color="000000"/>
              <w:left w:val="none" w:sz="4" w:space="0" w:color="000000"/>
              <w:bottom w:val="single" w:sz="4" w:space="0" w:color="auto"/>
              <w:right w:val="single" w:sz="8" w:space="0" w:color="auto"/>
            </w:tcBorders>
            <w:shd w:val="clear" w:color="auto" w:fill="auto"/>
            <w:vAlign w:val="center"/>
          </w:tcPr>
          <w:p w:rsidR="00DC1467" w:rsidRDefault="00B70D3E">
            <w:pPr>
              <w:spacing w:line="240" w:lineRule="auto"/>
              <w:ind w:firstLine="0"/>
              <w:jc w:val="center"/>
              <w:rPr>
                <w:b/>
                <w:bCs/>
                <w:color w:val="000000"/>
                <w:sz w:val="23"/>
                <w:szCs w:val="23"/>
              </w:rPr>
            </w:pPr>
            <w:r>
              <w:rPr>
                <w:b/>
                <w:bCs/>
                <w:color w:val="000000"/>
                <w:sz w:val="23"/>
                <w:szCs w:val="23"/>
              </w:rPr>
              <w:t>-5,6</w:t>
            </w:r>
          </w:p>
        </w:tc>
      </w:tr>
      <w:tr w:rsidR="00DC1467">
        <w:trPr>
          <w:trHeight w:val="227"/>
        </w:trPr>
        <w:tc>
          <w:tcPr>
            <w:tcW w:w="4540" w:type="dxa"/>
            <w:tcBorders>
              <w:top w:val="none" w:sz="4" w:space="0" w:color="000000"/>
              <w:left w:val="single" w:sz="4" w:space="0" w:color="auto"/>
              <w:bottom w:val="single" w:sz="4" w:space="0" w:color="auto"/>
              <w:right w:val="none" w:sz="4" w:space="0" w:color="000000"/>
            </w:tcBorders>
            <w:shd w:val="clear" w:color="auto" w:fill="auto"/>
            <w:vAlign w:val="center"/>
          </w:tcPr>
          <w:p w:rsidR="00DC1467" w:rsidRDefault="00B70D3E">
            <w:pPr>
              <w:spacing w:line="240" w:lineRule="auto"/>
              <w:ind w:firstLine="0"/>
              <w:jc w:val="left"/>
              <w:rPr>
                <w:color w:val="000000"/>
                <w:sz w:val="23"/>
                <w:szCs w:val="23"/>
              </w:rPr>
            </w:pPr>
            <w:r>
              <w:rPr>
                <w:color w:val="000000"/>
                <w:sz w:val="23"/>
                <w:szCs w:val="23"/>
              </w:rPr>
              <w:t>г. Нижневартовск</w:t>
            </w:r>
          </w:p>
        </w:tc>
        <w:tc>
          <w:tcPr>
            <w:tcW w:w="1840" w:type="dxa"/>
            <w:tcBorders>
              <w:top w:val="single" w:sz="4" w:space="0" w:color="auto"/>
              <w:left w:val="single" w:sz="8" w:space="0" w:color="auto"/>
              <w:bottom w:val="single" w:sz="4" w:space="0" w:color="auto"/>
              <w:right w:val="single" w:sz="4" w:space="0" w:color="auto"/>
            </w:tcBorders>
            <w:shd w:val="clear" w:color="000000" w:fill="FFFF52"/>
            <w:vAlign w:val="center"/>
          </w:tcPr>
          <w:p w:rsidR="00DC1467" w:rsidRDefault="00B70D3E">
            <w:pPr>
              <w:spacing w:line="240" w:lineRule="auto"/>
              <w:ind w:firstLine="0"/>
              <w:jc w:val="center"/>
              <w:rPr>
                <w:b/>
                <w:bCs/>
                <w:color w:val="000000"/>
                <w:sz w:val="23"/>
                <w:szCs w:val="23"/>
              </w:rPr>
            </w:pPr>
            <w:r>
              <w:rPr>
                <w:b/>
                <w:bCs/>
                <w:color w:val="000000"/>
                <w:sz w:val="23"/>
                <w:szCs w:val="23"/>
              </w:rPr>
              <w:t>34,6</w:t>
            </w:r>
          </w:p>
        </w:tc>
        <w:tc>
          <w:tcPr>
            <w:tcW w:w="1840" w:type="dxa"/>
            <w:tcBorders>
              <w:top w:val="single" w:sz="4" w:space="0" w:color="auto"/>
              <w:left w:val="single" w:sz="4" w:space="0" w:color="auto"/>
              <w:bottom w:val="single" w:sz="4" w:space="0" w:color="auto"/>
              <w:right w:val="single" w:sz="4" w:space="0" w:color="auto"/>
            </w:tcBorders>
            <w:shd w:val="clear" w:color="000000" w:fill="FFFF52"/>
            <w:vAlign w:val="center"/>
          </w:tcPr>
          <w:p w:rsidR="00DC1467" w:rsidRDefault="00B70D3E">
            <w:pPr>
              <w:spacing w:line="240" w:lineRule="auto"/>
              <w:ind w:firstLine="0"/>
              <w:jc w:val="center"/>
              <w:rPr>
                <w:b/>
                <w:bCs/>
                <w:color w:val="000000"/>
                <w:sz w:val="23"/>
                <w:szCs w:val="23"/>
              </w:rPr>
            </w:pPr>
            <w:r>
              <w:rPr>
                <w:b/>
                <w:bCs/>
                <w:color w:val="000000"/>
                <w:sz w:val="23"/>
                <w:szCs w:val="23"/>
              </w:rPr>
              <w:t>38,4</w:t>
            </w:r>
          </w:p>
        </w:tc>
        <w:tc>
          <w:tcPr>
            <w:tcW w:w="1840" w:type="dxa"/>
            <w:tcBorders>
              <w:top w:val="single" w:sz="4" w:space="0" w:color="auto"/>
              <w:left w:val="single" w:sz="4" w:space="0" w:color="auto"/>
              <w:bottom w:val="single" w:sz="4" w:space="0" w:color="auto"/>
              <w:right w:val="single" w:sz="8" w:space="0" w:color="auto"/>
            </w:tcBorders>
            <w:shd w:val="clear" w:color="000000" w:fill="FFFF52"/>
            <w:vAlign w:val="center"/>
          </w:tcPr>
          <w:p w:rsidR="00DC1467" w:rsidRDefault="00B70D3E">
            <w:pPr>
              <w:spacing w:line="240" w:lineRule="auto"/>
              <w:ind w:firstLine="0"/>
              <w:jc w:val="center"/>
              <w:rPr>
                <w:b/>
                <w:bCs/>
                <w:color w:val="000000"/>
                <w:sz w:val="23"/>
                <w:szCs w:val="23"/>
              </w:rPr>
            </w:pPr>
            <w:r>
              <w:rPr>
                <w:b/>
                <w:bCs/>
                <w:color w:val="000000"/>
                <w:sz w:val="23"/>
                <w:szCs w:val="23"/>
              </w:rPr>
              <w:t>39,0</w:t>
            </w:r>
          </w:p>
        </w:tc>
        <w:tc>
          <w:tcPr>
            <w:tcW w:w="2360" w:type="dxa"/>
            <w:tcBorders>
              <w:top w:val="none" w:sz="4" w:space="0" w:color="000000"/>
              <w:left w:val="none" w:sz="4" w:space="0" w:color="000000"/>
              <w:bottom w:val="single" w:sz="4" w:space="0" w:color="auto"/>
              <w:right w:val="single" w:sz="4" w:space="0" w:color="auto"/>
            </w:tcBorders>
            <w:shd w:val="clear" w:color="auto" w:fill="auto"/>
            <w:vAlign w:val="center"/>
          </w:tcPr>
          <w:p w:rsidR="00DC1467" w:rsidRDefault="00B70D3E">
            <w:pPr>
              <w:spacing w:line="240" w:lineRule="auto"/>
              <w:ind w:firstLine="0"/>
              <w:jc w:val="center"/>
              <w:rPr>
                <w:b/>
                <w:bCs/>
                <w:color w:val="000000"/>
                <w:sz w:val="23"/>
                <w:szCs w:val="23"/>
              </w:rPr>
            </w:pPr>
            <w:r>
              <w:rPr>
                <w:b/>
                <w:bCs/>
                <w:color w:val="000000"/>
                <w:sz w:val="23"/>
                <w:szCs w:val="23"/>
              </w:rPr>
              <w:t>0,7</w:t>
            </w:r>
          </w:p>
        </w:tc>
        <w:tc>
          <w:tcPr>
            <w:tcW w:w="2360" w:type="dxa"/>
            <w:tcBorders>
              <w:top w:val="none" w:sz="4" w:space="0" w:color="000000"/>
              <w:left w:val="none" w:sz="4" w:space="0" w:color="000000"/>
              <w:bottom w:val="single" w:sz="4" w:space="0" w:color="auto"/>
              <w:right w:val="single" w:sz="8" w:space="0" w:color="auto"/>
            </w:tcBorders>
            <w:shd w:val="clear" w:color="auto" w:fill="auto"/>
            <w:vAlign w:val="center"/>
          </w:tcPr>
          <w:p w:rsidR="00DC1467" w:rsidRDefault="00B70D3E">
            <w:pPr>
              <w:spacing w:line="240" w:lineRule="auto"/>
              <w:ind w:firstLine="0"/>
              <w:jc w:val="center"/>
              <w:rPr>
                <w:b/>
                <w:bCs/>
                <w:color w:val="000000"/>
                <w:sz w:val="23"/>
                <w:szCs w:val="23"/>
              </w:rPr>
            </w:pPr>
            <w:r>
              <w:rPr>
                <w:b/>
                <w:bCs/>
                <w:color w:val="000000"/>
                <w:sz w:val="23"/>
                <w:szCs w:val="23"/>
              </w:rPr>
              <w:t>4,5</w:t>
            </w:r>
          </w:p>
        </w:tc>
      </w:tr>
      <w:tr w:rsidR="00DC1467">
        <w:trPr>
          <w:trHeight w:val="227"/>
        </w:trPr>
        <w:tc>
          <w:tcPr>
            <w:tcW w:w="4540" w:type="dxa"/>
            <w:tcBorders>
              <w:top w:val="none" w:sz="4" w:space="0" w:color="000000"/>
              <w:left w:val="single" w:sz="4" w:space="0" w:color="auto"/>
              <w:bottom w:val="single" w:sz="4" w:space="0" w:color="auto"/>
              <w:right w:val="none" w:sz="4" w:space="0" w:color="000000"/>
            </w:tcBorders>
            <w:shd w:val="clear" w:color="auto" w:fill="auto"/>
            <w:vAlign w:val="center"/>
          </w:tcPr>
          <w:p w:rsidR="00DC1467" w:rsidRDefault="00B70D3E">
            <w:pPr>
              <w:spacing w:line="240" w:lineRule="auto"/>
              <w:ind w:firstLine="0"/>
              <w:jc w:val="left"/>
              <w:rPr>
                <w:color w:val="000000"/>
                <w:sz w:val="23"/>
                <w:szCs w:val="23"/>
              </w:rPr>
            </w:pPr>
            <w:r>
              <w:rPr>
                <w:color w:val="000000"/>
                <w:sz w:val="23"/>
                <w:szCs w:val="23"/>
              </w:rPr>
              <w:t xml:space="preserve">г. </w:t>
            </w:r>
            <w:r>
              <w:rPr>
                <w:color w:val="000000"/>
                <w:sz w:val="23"/>
                <w:szCs w:val="23"/>
              </w:rPr>
              <w:t>Нягань</w:t>
            </w:r>
          </w:p>
        </w:tc>
        <w:tc>
          <w:tcPr>
            <w:tcW w:w="1840" w:type="dxa"/>
            <w:tcBorders>
              <w:top w:val="single" w:sz="4" w:space="0" w:color="auto"/>
              <w:left w:val="single" w:sz="8" w:space="0" w:color="auto"/>
              <w:bottom w:val="single" w:sz="4" w:space="0" w:color="auto"/>
              <w:right w:val="single" w:sz="4" w:space="0" w:color="auto"/>
            </w:tcBorders>
            <w:shd w:val="clear" w:color="000000" w:fill="E28700"/>
            <w:vAlign w:val="center"/>
          </w:tcPr>
          <w:p w:rsidR="00DC1467" w:rsidRDefault="00B70D3E">
            <w:pPr>
              <w:spacing w:line="240" w:lineRule="auto"/>
              <w:ind w:firstLine="0"/>
              <w:jc w:val="center"/>
              <w:rPr>
                <w:b/>
                <w:bCs/>
                <w:color w:val="000000"/>
                <w:sz w:val="23"/>
                <w:szCs w:val="23"/>
              </w:rPr>
            </w:pPr>
            <w:r>
              <w:rPr>
                <w:b/>
                <w:bCs/>
                <w:color w:val="000000"/>
                <w:sz w:val="23"/>
                <w:szCs w:val="23"/>
              </w:rPr>
              <w:t>54,1</w:t>
            </w:r>
          </w:p>
        </w:tc>
        <w:tc>
          <w:tcPr>
            <w:tcW w:w="1840"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b/>
                <w:bCs/>
                <w:color w:val="000000"/>
                <w:sz w:val="23"/>
                <w:szCs w:val="23"/>
              </w:rPr>
            </w:pPr>
            <w:r>
              <w:rPr>
                <w:b/>
                <w:bCs/>
                <w:color w:val="000000"/>
                <w:sz w:val="23"/>
                <w:szCs w:val="23"/>
              </w:rPr>
              <w:t>24,1</w:t>
            </w:r>
          </w:p>
        </w:tc>
        <w:tc>
          <w:tcPr>
            <w:tcW w:w="1840" w:type="dxa"/>
            <w:tcBorders>
              <w:top w:val="single" w:sz="4" w:space="0" w:color="auto"/>
              <w:left w:val="single" w:sz="4" w:space="0" w:color="auto"/>
              <w:bottom w:val="single" w:sz="4" w:space="0" w:color="auto"/>
              <w:right w:val="single" w:sz="8" w:space="0" w:color="auto"/>
            </w:tcBorders>
            <w:shd w:val="clear" w:color="000000" w:fill="AFDD7D"/>
            <w:vAlign w:val="center"/>
          </w:tcPr>
          <w:p w:rsidR="00DC1467" w:rsidRDefault="00B70D3E">
            <w:pPr>
              <w:spacing w:line="240" w:lineRule="auto"/>
              <w:ind w:firstLine="0"/>
              <w:jc w:val="center"/>
              <w:rPr>
                <w:b/>
                <w:bCs/>
                <w:color w:val="000000"/>
                <w:sz w:val="23"/>
                <w:szCs w:val="23"/>
              </w:rPr>
            </w:pPr>
            <w:r>
              <w:rPr>
                <w:b/>
                <w:bCs/>
                <w:color w:val="000000"/>
                <w:sz w:val="23"/>
                <w:szCs w:val="23"/>
              </w:rPr>
              <w:t>24,8</w:t>
            </w:r>
          </w:p>
        </w:tc>
        <w:tc>
          <w:tcPr>
            <w:tcW w:w="2360" w:type="dxa"/>
            <w:tcBorders>
              <w:top w:val="none" w:sz="4" w:space="0" w:color="000000"/>
              <w:left w:val="none" w:sz="4" w:space="0" w:color="000000"/>
              <w:bottom w:val="single" w:sz="4" w:space="0" w:color="auto"/>
              <w:right w:val="single" w:sz="4" w:space="0" w:color="auto"/>
            </w:tcBorders>
            <w:shd w:val="clear" w:color="auto" w:fill="auto"/>
            <w:vAlign w:val="center"/>
          </w:tcPr>
          <w:p w:rsidR="00DC1467" w:rsidRDefault="00B70D3E">
            <w:pPr>
              <w:spacing w:line="240" w:lineRule="auto"/>
              <w:ind w:firstLine="0"/>
              <w:jc w:val="center"/>
              <w:rPr>
                <w:b/>
                <w:bCs/>
                <w:color w:val="000000"/>
                <w:sz w:val="23"/>
                <w:szCs w:val="23"/>
              </w:rPr>
            </w:pPr>
            <w:r>
              <w:rPr>
                <w:b/>
                <w:bCs/>
                <w:color w:val="000000"/>
                <w:sz w:val="23"/>
                <w:szCs w:val="23"/>
              </w:rPr>
              <w:t>0,6</w:t>
            </w:r>
          </w:p>
        </w:tc>
        <w:tc>
          <w:tcPr>
            <w:tcW w:w="2360" w:type="dxa"/>
            <w:tcBorders>
              <w:top w:val="none" w:sz="4" w:space="0" w:color="000000"/>
              <w:left w:val="none" w:sz="4" w:space="0" w:color="000000"/>
              <w:bottom w:val="single" w:sz="4" w:space="0" w:color="auto"/>
              <w:right w:val="single" w:sz="8" w:space="0" w:color="auto"/>
            </w:tcBorders>
            <w:shd w:val="clear" w:color="auto" w:fill="auto"/>
            <w:vAlign w:val="center"/>
          </w:tcPr>
          <w:p w:rsidR="00DC1467" w:rsidRDefault="00B70D3E">
            <w:pPr>
              <w:spacing w:line="240" w:lineRule="auto"/>
              <w:ind w:firstLine="0"/>
              <w:jc w:val="center"/>
              <w:rPr>
                <w:b/>
                <w:bCs/>
                <w:color w:val="000000"/>
                <w:sz w:val="23"/>
                <w:szCs w:val="23"/>
              </w:rPr>
            </w:pPr>
            <w:r>
              <w:rPr>
                <w:b/>
                <w:bCs/>
                <w:color w:val="000000"/>
                <w:sz w:val="23"/>
                <w:szCs w:val="23"/>
              </w:rPr>
              <w:t>-29,3</w:t>
            </w:r>
          </w:p>
        </w:tc>
      </w:tr>
      <w:tr w:rsidR="00DC1467">
        <w:trPr>
          <w:trHeight w:val="227"/>
        </w:trPr>
        <w:tc>
          <w:tcPr>
            <w:tcW w:w="4540" w:type="dxa"/>
            <w:tcBorders>
              <w:top w:val="none" w:sz="4" w:space="0" w:color="000000"/>
              <w:left w:val="single" w:sz="4" w:space="0" w:color="auto"/>
              <w:bottom w:val="single" w:sz="4" w:space="0" w:color="auto"/>
              <w:right w:val="none" w:sz="4" w:space="0" w:color="000000"/>
            </w:tcBorders>
            <w:shd w:val="clear" w:color="auto" w:fill="auto"/>
            <w:vAlign w:val="center"/>
          </w:tcPr>
          <w:p w:rsidR="00DC1467" w:rsidRDefault="00B70D3E">
            <w:pPr>
              <w:spacing w:line="240" w:lineRule="auto"/>
              <w:ind w:firstLine="0"/>
              <w:jc w:val="left"/>
              <w:rPr>
                <w:color w:val="000000"/>
                <w:sz w:val="23"/>
                <w:szCs w:val="23"/>
              </w:rPr>
            </w:pPr>
            <w:r>
              <w:rPr>
                <w:color w:val="000000"/>
                <w:sz w:val="23"/>
                <w:szCs w:val="23"/>
              </w:rPr>
              <w:t>г. Покачи</w:t>
            </w:r>
          </w:p>
        </w:tc>
        <w:tc>
          <w:tcPr>
            <w:tcW w:w="1840" w:type="dxa"/>
            <w:tcBorders>
              <w:top w:val="single" w:sz="4" w:space="0" w:color="auto"/>
              <w:left w:val="single" w:sz="8"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b/>
                <w:bCs/>
                <w:color w:val="000000"/>
                <w:sz w:val="23"/>
                <w:szCs w:val="23"/>
              </w:rPr>
            </w:pPr>
            <w:r>
              <w:rPr>
                <w:b/>
                <w:bCs/>
                <w:color w:val="000000"/>
                <w:sz w:val="23"/>
                <w:szCs w:val="23"/>
              </w:rPr>
              <w:t>0,0</w:t>
            </w:r>
          </w:p>
        </w:tc>
        <w:tc>
          <w:tcPr>
            <w:tcW w:w="1840"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b/>
                <w:bCs/>
                <w:color w:val="000000"/>
                <w:sz w:val="23"/>
                <w:szCs w:val="23"/>
              </w:rPr>
            </w:pPr>
            <w:r>
              <w:rPr>
                <w:b/>
                <w:bCs/>
                <w:color w:val="000000"/>
                <w:sz w:val="23"/>
                <w:szCs w:val="23"/>
              </w:rPr>
              <w:t>10,8</w:t>
            </w:r>
          </w:p>
        </w:tc>
        <w:tc>
          <w:tcPr>
            <w:tcW w:w="1840" w:type="dxa"/>
            <w:tcBorders>
              <w:top w:val="single" w:sz="4" w:space="0" w:color="auto"/>
              <w:left w:val="single" w:sz="4" w:space="0" w:color="auto"/>
              <w:bottom w:val="single" w:sz="4" w:space="0" w:color="auto"/>
              <w:right w:val="single" w:sz="8" w:space="0" w:color="auto"/>
            </w:tcBorders>
            <w:shd w:val="clear" w:color="000000" w:fill="AFDD7D"/>
            <w:vAlign w:val="center"/>
          </w:tcPr>
          <w:p w:rsidR="00DC1467" w:rsidRDefault="00B70D3E">
            <w:pPr>
              <w:spacing w:line="240" w:lineRule="auto"/>
              <w:ind w:firstLine="0"/>
              <w:jc w:val="center"/>
              <w:rPr>
                <w:b/>
                <w:bCs/>
                <w:color w:val="000000"/>
                <w:sz w:val="23"/>
                <w:szCs w:val="23"/>
              </w:rPr>
            </w:pPr>
            <w:r>
              <w:rPr>
                <w:b/>
                <w:bCs/>
                <w:color w:val="000000"/>
                <w:sz w:val="23"/>
                <w:szCs w:val="23"/>
              </w:rPr>
              <w:t>20,5</w:t>
            </w:r>
          </w:p>
        </w:tc>
        <w:tc>
          <w:tcPr>
            <w:tcW w:w="2360" w:type="dxa"/>
            <w:tcBorders>
              <w:top w:val="none" w:sz="4" w:space="0" w:color="000000"/>
              <w:left w:val="none" w:sz="4" w:space="0" w:color="000000"/>
              <w:bottom w:val="single" w:sz="4" w:space="0" w:color="auto"/>
              <w:right w:val="single" w:sz="4" w:space="0" w:color="auto"/>
            </w:tcBorders>
            <w:shd w:val="clear" w:color="auto" w:fill="auto"/>
            <w:vAlign w:val="center"/>
          </w:tcPr>
          <w:p w:rsidR="00DC1467" w:rsidRDefault="00B70D3E">
            <w:pPr>
              <w:spacing w:line="240" w:lineRule="auto"/>
              <w:ind w:firstLine="0"/>
              <w:jc w:val="center"/>
              <w:rPr>
                <w:b/>
                <w:bCs/>
                <w:color w:val="000000"/>
                <w:sz w:val="23"/>
                <w:szCs w:val="23"/>
              </w:rPr>
            </w:pPr>
            <w:r>
              <w:rPr>
                <w:b/>
                <w:bCs/>
                <w:color w:val="000000"/>
                <w:sz w:val="23"/>
                <w:szCs w:val="23"/>
              </w:rPr>
              <w:t>9,8</w:t>
            </w:r>
          </w:p>
        </w:tc>
        <w:tc>
          <w:tcPr>
            <w:tcW w:w="2360" w:type="dxa"/>
            <w:tcBorders>
              <w:top w:val="none" w:sz="4" w:space="0" w:color="000000"/>
              <w:left w:val="none" w:sz="4" w:space="0" w:color="000000"/>
              <w:bottom w:val="single" w:sz="4" w:space="0" w:color="auto"/>
              <w:right w:val="single" w:sz="8" w:space="0" w:color="auto"/>
            </w:tcBorders>
            <w:shd w:val="clear" w:color="auto" w:fill="auto"/>
            <w:vAlign w:val="center"/>
          </w:tcPr>
          <w:p w:rsidR="00DC1467" w:rsidRDefault="00B70D3E">
            <w:pPr>
              <w:spacing w:line="240" w:lineRule="auto"/>
              <w:ind w:firstLine="0"/>
              <w:jc w:val="center"/>
              <w:rPr>
                <w:b/>
                <w:bCs/>
                <w:color w:val="000000"/>
                <w:sz w:val="23"/>
                <w:szCs w:val="23"/>
              </w:rPr>
            </w:pPr>
            <w:r>
              <w:rPr>
                <w:b/>
                <w:bCs/>
                <w:color w:val="000000"/>
                <w:sz w:val="23"/>
                <w:szCs w:val="23"/>
              </w:rPr>
              <w:t>20,5</w:t>
            </w:r>
          </w:p>
        </w:tc>
      </w:tr>
      <w:tr w:rsidR="00DC1467">
        <w:trPr>
          <w:trHeight w:val="227"/>
        </w:trPr>
        <w:tc>
          <w:tcPr>
            <w:tcW w:w="4540" w:type="dxa"/>
            <w:tcBorders>
              <w:top w:val="none" w:sz="4" w:space="0" w:color="000000"/>
              <w:left w:val="single" w:sz="4" w:space="0" w:color="auto"/>
              <w:bottom w:val="single" w:sz="4" w:space="0" w:color="auto"/>
              <w:right w:val="none" w:sz="4" w:space="0" w:color="000000"/>
            </w:tcBorders>
            <w:shd w:val="clear" w:color="auto" w:fill="auto"/>
            <w:vAlign w:val="center"/>
          </w:tcPr>
          <w:p w:rsidR="00DC1467" w:rsidRDefault="00B70D3E">
            <w:pPr>
              <w:spacing w:line="240" w:lineRule="auto"/>
              <w:ind w:firstLine="0"/>
              <w:jc w:val="left"/>
              <w:rPr>
                <w:color w:val="000000"/>
                <w:sz w:val="23"/>
                <w:szCs w:val="23"/>
              </w:rPr>
            </w:pPr>
            <w:r>
              <w:rPr>
                <w:color w:val="000000"/>
                <w:sz w:val="23"/>
                <w:szCs w:val="23"/>
              </w:rPr>
              <w:t>г. Пыть-Ях</w:t>
            </w:r>
          </w:p>
        </w:tc>
        <w:tc>
          <w:tcPr>
            <w:tcW w:w="1840" w:type="dxa"/>
            <w:tcBorders>
              <w:top w:val="single" w:sz="4" w:space="0" w:color="auto"/>
              <w:left w:val="single" w:sz="8" w:space="0" w:color="auto"/>
              <w:bottom w:val="single" w:sz="4" w:space="0" w:color="auto"/>
              <w:right w:val="single" w:sz="4" w:space="0" w:color="auto"/>
            </w:tcBorders>
            <w:shd w:val="clear" w:color="000000" w:fill="FFFF52"/>
            <w:vAlign w:val="center"/>
          </w:tcPr>
          <w:p w:rsidR="00DC1467" w:rsidRDefault="00B70D3E">
            <w:pPr>
              <w:spacing w:line="240" w:lineRule="auto"/>
              <w:ind w:firstLine="0"/>
              <w:jc w:val="center"/>
              <w:rPr>
                <w:b/>
                <w:bCs/>
                <w:color w:val="000000"/>
                <w:sz w:val="23"/>
                <w:szCs w:val="23"/>
              </w:rPr>
            </w:pPr>
            <w:r>
              <w:rPr>
                <w:b/>
                <w:bCs/>
                <w:color w:val="000000"/>
                <w:sz w:val="23"/>
                <w:szCs w:val="23"/>
              </w:rPr>
              <w:t>40,6</w:t>
            </w:r>
          </w:p>
        </w:tc>
        <w:tc>
          <w:tcPr>
            <w:tcW w:w="1840"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b/>
                <w:bCs/>
                <w:color w:val="000000"/>
                <w:sz w:val="23"/>
                <w:szCs w:val="23"/>
              </w:rPr>
            </w:pPr>
            <w:r>
              <w:rPr>
                <w:b/>
                <w:bCs/>
                <w:color w:val="000000"/>
                <w:sz w:val="23"/>
                <w:szCs w:val="23"/>
              </w:rPr>
              <w:t>15,7</w:t>
            </w:r>
          </w:p>
        </w:tc>
        <w:tc>
          <w:tcPr>
            <w:tcW w:w="1840" w:type="dxa"/>
            <w:tcBorders>
              <w:top w:val="single" w:sz="4" w:space="0" w:color="auto"/>
              <w:left w:val="single" w:sz="4" w:space="0" w:color="auto"/>
              <w:bottom w:val="single" w:sz="4" w:space="0" w:color="auto"/>
              <w:right w:val="single" w:sz="8" w:space="0" w:color="auto"/>
            </w:tcBorders>
            <w:shd w:val="clear" w:color="000000" w:fill="AFDD7D"/>
            <w:vAlign w:val="center"/>
          </w:tcPr>
          <w:p w:rsidR="00DC1467" w:rsidRDefault="00B70D3E">
            <w:pPr>
              <w:spacing w:line="240" w:lineRule="auto"/>
              <w:ind w:firstLine="0"/>
              <w:jc w:val="center"/>
              <w:rPr>
                <w:b/>
                <w:bCs/>
                <w:color w:val="000000"/>
                <w:sz w:val="23"/>
                <w:szCs w:val="23"/>
              </w:rPr>
            </w:pPr>
            <w:r>
              <w:rPr>
                <w:b/>
                <w:bCs/>
                <w:color w:val="000000"/>
                <w:sz w:val="23"/>
                <w:szCs w:val="23"/>
              </w:rPr>
              <w:t>10,5</w:t>
            </w:r>
          </w:p>
        </w:tc>
        <w:tc>
          <w:tcPr>
            <w:tcW w:w="2360" w:type="dxa"/>
            <w:tcBorders>
              <w:top w:val="none" w:sz="4" w:space="0" w:color="000000"/>
              <w:left w:val="none" w:sz="4" w:space="0" w:color="000000"/>
              <w:bottom w:val="single" w:sz="4" w:space="0" w:color="auto"/>
              <w:right w:val="single" w:sz="4" w:space="0" w:color="auto"/>
            </w:tcBorders>
            <w:shd w:val="clear" w:color="auto" w:fill="auto"/>
            <w:vAlign w:val="center"/>
          </w:tcPr>
          <w:p w:rsidR="00DC1467" w:rsidRDefault="00B70D3E">
            <w:pPr>
              <w:spacing w:line="240" w:lineRule="auto"/>
              <w:ind w:firstLine="0"/>
              <w:jc w:val="center"/>
              <w:rPr>
                <w:b/>
                <w:bCs/>
                <w:color w:val="000000"/>
                <w:sz w:val="23"/>
                <w:szCs w:val="23"/>
              </w:rPr>
            </w:pPr>
            <w:r>
              <w:rPr>
                <w:b/>
                <w:bCs/>
                <w:color w:val="000000"/>
                <w:sz w:val="23"/>
                <w:szCs w:val="23"/>
              </w:rPr>
              <w:t>-5,2</w:t>
            </w:r>
          </w:p>
        </w:tc>
        <w:tc>
          <w:tcPr>
            <w:tcW w:w="2360" w:type="dxa"/>
            <w:tcBorders>
              <w:top w:val="none" w:sz="4" w:space="0" w:color="000000"/>
              <w:left w:val="none" w:sz="4" w:space="0" w:color="000000"/>
              <w:bottom w:val="single" w:sz="4" w:space="0" w:color="auto"/>
              <w:right w:val="single" w:sz="8" w:space="0" w:color="auto"/>
            </w:tcBorders>
            <w:shd w:val="clear" w:color="auto" w:fill="auto"/>
            <w:vAlign w:val="center"/>
          </w:tcPr>
          <w:p w:rsidR="00DC1467" w:rsidRDefault="00B70D3E">
            <w:pPr>
              <w:spacing w:line="240" w:lineRule="auto"/>
              <w:ind w:firstLine="0"/>
              <w:jc w:val="center"/>
              <w:rPr>
                <w:b/>
                <w:bCs/>
                <w:color w:val="000000"/>
                <w:sz w:val="23"/>
                <w:szCs w:val="23"/>
              </w:rPr>
            </w:pPr>
            <w:r>
              <w:rPr>
                <w:b/>
                <w:bCs/>
                <w:color w:val="000000"/>
                <w:sz w:val="23"/>
                <w:szCs w:val="23"/>
              </w:rPr>
              <w:t>-30,2</w:t>
            </w:r>
          </w:p>
        </w:tc>
      </w:tr>
      <w:tr w:rsidR="00DC1467">
        <w:trPr>
          <w:trHeight w:val="227"/>
        </w:trPr>
        <w:tc>
          <w:tcPr>
            <w:tcW w:w="4540" w:type="dxa"/>
            <w:tcBorders>
              <w:top w:val="none" w:sz="4" w:space="0" w:color="000000"/>
              <w:left w:val="single" w:sz="4" w:space="0" w:color="auto"/>
              <w:bottom w:val="single" w:sz="4" w:space="0" w:color="auto"/>
              <w:right w:val="none" w:sz="4" w:space="0" w:color="000000"/>
            </w:tcBorders>
            <w:shd w:val="clear" w:color="auto" w:fill="auto"/>
            <w:vAlign w:val="center"/>
          </w:tcPr>
          <w:p w:rsidR="00DC1467" w:rsidRDefault="00B70D3E">
            <w:pPr>
              <w:spacing w:line="240" w:lineRule="auto"/>
              <w:ind w:firstLine="0"/>
              <w:jc w:val="left"/>
              <w:rPr>
                <w:color w:val="000000"/>
                <w:sz w:val="23"/>
                <w:szCs w:val="23"/>
              </w:rPr>
            </w:pPr>
            <w:r>
              <w:rPr>
                <w:color w:val="000000"/>
                <w:sz w:val="23"/>
                <w:szCs w:val="23"/>
              </w:rPr>
              <w:t>г. Радужный</w:t>
            </w:r>
          </w:p>
        </w:tc>
        <w:tc>
          <w:tcPr>
            <w:tcW w:w="1840" w:type="dxa"/>
            <w:tcBorders>
              <w:top w:val="single" w:sz="4" w:space="0" w:color="auto"/>
              <w:left w:val="single" w:sz="8"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b/>
                <w:bCs/>
                <w:color w:val="000000"/>
                <w:sz w:val="23"/>
                <w:szCs w:val="23"/>
              </w:rPr>
            </w:pPr>
            <w:r>
              <w:rPr>
                <w:b/>
                <w:bCs/>
                <w:color w:val="000000"/>
                <w:sz w:val="23"/>
                <w:szCs w:val="23"/>
              </w:rPr>
              <w:t>23,2</w:t>
            </w:r>
          </w:p>
        </w:tc>
        <w:tc>
          <w:tcPr>
            <w:tcW w:w="1840"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b/>
                <w:bCs/>
                <w:color w:val="000000"/>
                <w:sz w:val="23"/>
                <w:szCs w:val="23"/>
              </w:rPr>
            </w:pPr>
            <w:r>
              <w:rPr>
                <w:b/>
                <w:bCs/>
                <w:color w:val="000000"/>
                <w:sz w:val="23"/>
                <w:szCs w:val="23"/>
              </w:rPr>
              <w:t>10,2</w:t>
            </w:r>
          </w:p>
        </w:tc>
        <w:tc>
          <w:tcPr>
            <w:tcW w:w="1840" w:type="dxa"/>
            <w:tcBorders>
              <w:top w:val="single" w:sz="4" w:space="0" w:color="auto"/>
              <w:left w:val="single" w:sz="4" w:space="0" w:color="auto"/>
              <w:bottom w:val="single" w:sz="4" w:space="0" w:color="auto"/>
              <w:right w:val="single" w:sz="8" w:space="0" w:color="auto"/>
            </w:tcBorders>
            <w:shd w:val="clear" w:color="000000" w:fill="AFDD7D"/>
            <w:vAlign w:val="center"/>
          </w:tcPr>
          <w:p w:rsidR="00DC1467" w:rsidRDefault="00B70D3E">
            <w:pPr>
              <w:spacing w:line="240" w:lineRule="auto"/>
              <w:ind w:firstLine="0"/>
              <w:jc w:val="center"/>
              <w:rPr>
                <w:b/>
                <w:bCs/>
                <w:color w:val="000000"/>
                <w:sz w:val="23"/>
                <w:szCs w:val="23"/>
              </w:rPr>
            </w:pPr>
            <w:r>
              <w:rPr>
                <w:b/>
                <w:bCs/>
                <w:color w:val="000000"/>
                <w:sz w:val="23"/>
                <w:szCs w:val="23"/>
              </w:rPr>
              <w:t>18,7</w:t>
            </w:r>
          </w:p>
        </w:tc>
        <w:tc>
          <w:tcPr>
            <w:tcW w:w="2360" w:type="dxa"/>
            <w:tcBorders>
              <w:top w:val="none" w:sz="4" w:space="0" w:color="000000"/>
              <w:left w:val="none" w:sz="4" w:space="0" w:color="000000"/>
              <w:bottom w:val="single" w:sz="4" w:space="0" w:color="auto"/>
              <w:right w:val="single" w:sz="4" w:space="0" w:color="auto"/>
            </w:tcBorders>
            <w:shd w:val="clear" w:color="auto" w:fill="auto"/>
            <w:vAlign w:val="center"/>
          </w:tcPr>
          <w:p w:rsidR="00DC1467" w:rsidRDefault="00B70D3E">
            <w:pPr>
              <w:spacing w:line="240" w:lineRule="auto"/>
              <w:ind w:firstLine="0"/>
              <w:jc w:val="center"/>
              <w:rPr>
                <w:b/>
                <w:bCs/>
                <w:color w:val="000000"/>
                <w:sz w:val="23"/>
                <w:szCs w:val="23"/>
              </w:rPr>
            </w:pPr>
            <w:r>
              <w:rPr>
                <w:b/>
                <w:bCs/>
                <w:color w:val="000000"/>
                <w:sz w:val="23"/>
                <w:szCs w:val="23"/>
              </w:rPr>
              <w:t>8,5</w:t>
            </w:r>
          </w:p>
        </w:tc>
        <w:tc>
          <w:tcPr>
            <w:tcW w:w="2360" w:type="dxa"/>
            <w:tcBorders>
              <w:top w:val="none" w:sz="4" w:space="0" w:color="000000"/>
              <w:left w:val="none" w:sz="4" w:space="0" w:color="000000"/>
              <w:bottom w:val="single" w:sz="4" w:space="0" w:color="auto"/>
              <w:right w:val="single" w:sz="8" w:space="0" w:color="auto"/>
            </w:tcBorders>
            <w:shd w:val="clear" w:color="auto" w:fill="auto"/>
            <w:vAlign w:val="center"/>
          </w:tcPr>
          <w:p w:rsidR="00DC1467" w:rsidRDefault="00B70D3E">
            <w:pPr>
              <w:spacing w:line="240" w:lineRule="auto"/>
              <w:ind w:firstLine="0"/>
              <w:jc w:val="center"/>
              <w:rPr>
                <w:b/>
                <w:bCs/>
                <w:color w:val="000000"/>
                <w:sz w:val="23"/>
                <w:szCs w:val="23"/>
              </w:rPr>
            </w:pPr>
            <w:r>
              <w:rPr>
                <w:b/>
                <w:bCs/>
                <w:color w:val="000000"/>
                <w:sz w:val="23"/>
                <w:szCs w:val="23"/>
              </w:rPr>
              <w:t>-4,5</w:t>
            </w:r>
          </w:p>
        </w:tc>
      </w:tr>
      <w:tr w:rsidR="00DC1467">
        <w:trPr>
          <w:trHeight w:val="227"/>
        </w:trPr>
        <w:tc>
          <w:tcPr>
            <w:tcW w:w="4540" w:type="dxa"/>
            <w:tcBorders>
              <w:top w:val="none" w:sz="4" w:space="0" w:color="000000"/>
              <w:left w:val="single" w:sz="4" w:space="0" w:color="auto"/>
              <w:bottom w:val="single" w:sz="4" w:space="0" w:color="auto"/>
              <w:right w:val="none" w:sz="4" w:space="0" w:color="000000"/>
            </w:tcBorders>
            <w:shd w:val="clear" w:color="auto" w:fill="auto"/>
            <w:vAlign w:val="center"/>
          </w:tcPr>
          <w:p w:rsidR="00DC1467" w:rsidRDefault="00B70D3E">
            <w:pPr>
              <w:spacing w:line="240" w:lineRule="auto"/>
              <w:ind w:firstLine="0"/>
              <w:jc w:val="left"/>
              <w:rPr>
                <w:color w:val="000000"/>
                <w:sz w:val="23"/>
                <w:szCs w:val="23"/>
              </w:rPr>
            </w:pPr>
            <w:r>
              <w:rPr>
                <w:color w:val="000000"/>
                <w:sz w:val="23"/>
                <w:szCs w:val="23"/>
              </w:rPr>
              <w:t>г. Сургут</w:t>
            </w:r>
          </w:p>
        </w:tc>
        <w:tc>
          <w:tcPr>
            <w:tcW w:w="1840" w:type="dxa"/>
            <w:tcBorders>
              <w:top w:val="single" w:sz="4" w:space="0" w:color="auto"/>
              <w:left w:val="single" w:sz="8" w:space="0" w:color="auto"/>
              <w:bottom w:val="single" w:sz="4" w:space="0" w:color="auto"/>
              <w:right w:val="single" w:sz="4" w:space="0" w:color="auto"/>
            </w:tcBorders>
            <w:shd w:val="clear" w:color="000000" w:fill="E28700"/>
            <w:vAlign w:val="center"/>
          </w:tcPr>
          <w:p w:rsidR="00DC1467" w:rsidRDefault="00B70D3E">
            <w:pPr>
              <w:spacing w:line="240" w:lineRule="auto"/>
              <w:ind w:firstLine="0"/>
              <w:jc w:val="center"/>
              <w:rPr>
                <w:b/>
                <w:bCs/>
                <w:color w:val="000000"/>
                <w:sz w:val="23"/>
                <w:szCs w:val="23"/>
              </w:rPr>
            </w:pPr>
            <w:r>
              <w:rPr>
                <w:b/>
                <w:bCs/>
                <w:color w:val="000000"/>
                <w:sz w:val="23"/>
                <w:szCs w:val="23"/>
              </w:rPr>
              <w:t>66,7</w:t>
            </w:r>
          </w:p>
        </w:tc>
        <w:tc>
          <w:tcPr>
            <w:tcW w:w="1840" w:type="dxa"/>
            <w:tcBorders>
              <w:top w:val="single" w:sz="4" w:space="0" w:color="auto"/>
              <w:left w:val="single" w:sz="4" w:space="0" w:color="auto"/>
              <w:bottom w:val="single" w:sz="4" w:space="0" w:color="auto"/>
              <w:right w:val="single" w:sz="4" w:space="0" w:color="auto"/>
            </w:tcBorders>
            <w:shd w:val="clear" w:color="000000" w:fill="E28700"/>
            <w:vAlign w:val="center"/>
          </w:tcPr>
          <w:p w:rsidR="00DC1467" w:rsidRDefault="00B70D3E">
            <w:pPr>
              <w:spacing w:line="240" w:lineRule="auto"/>
              <w:ind w:firstLine="0"/>
              <w:jc w:val="center"/>
              <w:rPr>
                <w:b/>
                <w:bCs/>
                <w:color w:val="000000"/>
                <w:sz w:val="23"/>
                <w:szCs w:val="23"/>
              </w:rPr>
            </w:pPr>
            <w:r>
              <w:rPr>
                <w:b/>
                <w:bCs/>
                <w:color w:val="000000"/>
                <w:sz w:val="23"/>
                <w:szCs w:val="23"/>
              </w:rPr>
              <w:t>67,7</w:t>
            </w:r>
          </w:p>
        </w:tc>
        <w:tc>
          <w:tcPr>
            <w:tcW w:w="1840" w:type="dxa"/>
            <w:tcBorders>
              <w:top w:val="single" w:sz="4" w:space="0" w:color="auto"/>
              <w:left w:val="single" w:sz="4" w:space="0" w:color="auto"/>
              <w:bottom w:val="single" w:sz="4" w:space="0" w:color="auto"/>
              <w:right w:val="single" w:sz="8" w:space="0" w:color="auto"/>
            </w:tcBorders>
            <w:shd w:val="clear" w:color="000000" w:fill="FFFF52"/>
            <w:vAlign w:val="center"/>
          </w:tcPr>
          <w:p w:rsidR="00DC1467" w:rsidRDefault="00B70D3E">
            <w:pPr>
              <w:spacing w:line="240" w:lineRule="auto"/>
              <w:ind w:firstLine="0"/>
              <w:jc w:val="center"/>
              <w:rPr>
                <w:b/>
                <w:bCs/>
                <w:color w:val="000000"/>
                <w:sz w:val="23"/>
                <w:szCs w:val="23"/>
              </w:rPr>
            </w:pPr>
            <w:r>
              <w:rPr>
                <w:b/>
                <w:bCs/>
                <w:color w:val="000000"/>
                <w:sz w:val="23"/>
                <w:szCs w:val="23"/>
              </w:rPr>
              <w:t>43,2</w:t>
            </w:r>
          </w:p>
        </w:tc>
        <w:tc>
          <w:tcPr>
            <w:tcW w:w="2360" w:type="dxa"/>
            <w:tcBorders>
              <w:top w:val="none" w:sz="4" w:space="0" w:color="000000"/>
              <w:left w:val="none" w:sz="4" w:space="0" w:color="000000"/>
              <w:bottom w:val="single" w:sz="4" w:space="0" w:color="auto"/>
              <w:right w:val="single" w:sz="4" w:space="0" w:color="auto"/>
            </w:tcBorders>
            <w:shd w:val="clear" w:color="auto" w:fill="auto"/>
            <w:vAlign w:val="center"/>
          </w:tcPr>
          <w:p w:rsidR="00DC1467" w:rsidRDefault="00B70D3E">
            <w:pPr>
              <w:spacing w:line="240" w:lineRule="auto"/>
              <w:ind w:firstLine="0"/>
              <w:jc w:val="center"/>
              <w:rPr>
                <w:b/>
                <w:bCs/>
                <w:color w:val="000000"/>
                <w:sz w:val="23"/>
                <w:szCs w:val="23"/>
              </w:rPr>
            </w:pPr>
            <w:r>
              <w:rPr>
                <w:b/>
                <w:bCs/>
                <w:color w:val="000000"/>
                <w:sz w:val="23"/>
                <w:szCs w:val="23"/>
              </w:rPr>
              <w:t>-24,4</w:t>
            </w:r>
          </w:p>
        </w:tc>
        <w:tc>
          <w:tcPr>
            <w:tcW w:w="2360" w:type="dxa"/>
            <w:tcBorders>
              <w:top w:val="none" w:sz="4" w:space="0" w:color="000000"/>
              <w:left w:val="none" w:sz="4" w:space="0" w:color="000000"/>
              <w:bottom w:val="single" w:sz="4" w:space="0" w:color="auto"/>
              <w:right w:val="single" w:sz="8" w:space="0" w:color="auto"/>
            </w:tcBorders>
            <w:shd w:val="clear" w:color="auto" w:fill="auto"/>
            <w:vAlign w:val="center"/>
          </w:tcPr>
          <w:p w:rsidR="00DC1467" w:rsidRDefault="00B70D3E">
            <w:pPr>
              <w:spacing w:line="240" w:lineRule="auto"/>
              <w:ind w:firstLine="0"/>
              <w:jc w:val="center"/>
              <w:rPr>
                <w:b/>
                <w:bCs/>
                <w:color w:val="000000"/>
                <w:sz w:val="23"/>
                <w:szCs w:val="23"/>
              </w:rPr>
            </w:pPr>
            <w:r>
              <w:rPr>
                <w:b/>
                <w:bCs/>
                <w:color w:val="000000"/>
                <w:sz w:val="23"/>
                <w:szCs w:val="23"/>
              </w:rPr>
              <w:t>-23,4</w:t>
            </w:r>
          </w:p>
        </w:tc>
      </w:tr>
      <w:tr w:rsidR="00DC1467">
        <w:trPr>
          <w:trHeight w:val="227"/>
        </w:trPr>
        <w:tc>
          <w:tcPr>
            <w:tcW w:w="4540" w:type="dxa"/>
            <w:tcBorders>
              <w:top w:val="none" w:sz="4" w:space="0" w:color="000000"/>
              <w:left w:val="single" w:sz="4" w:space="0" w:color="auto"/>
              <w:bottom w:val="single" w:sz="4" w:space="0" w:color="auto"/>
              <w:right w:val="none" w:sz="4" w:space="0" w:color="000000"/>
            </w:tcBorders>
            <w:shd w:val="clear" w:color="auto" w:fill="auto"/>
            <w:vAlign w:val="center"/>
          </w:tcPr>
          <w:p w:rsidR="00DC1467" w:rsidRDefault="00B70D3E">
            <w:pPr>
              <w:spacing w:line="240" w:lineRule="auto"/>
              <w:ind w:firstLine="0"/>
              <w:jc w:val="left"/>
              <w:rPr>
                <w:color w:val="000000"/>
                <w:sz w:val="23"/>
                <w:szCs w:val="23"/>
              </w:rPr>
            </w:pPr>
            <w:r>
              <w:rPr>
                <w:color w:val="000000"/>
                <w:sz w:val="23"/>
                <w:szCs w:val="23"/>
              </w:rPr>
              <w:t>г. Урай</w:t>
            </w:r>
          </w:p>
        </w:tc>
        <w:tc>
          <w:tcPr>
            <w:tcW w:w="1840" w:type="dxa"/>
            <w:tcBorders>
              <w:top w:val="single" w:sz="4" w:space="0" w:color="auto"/>
              <w:left w:val="single" w:sz="8"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b/>
                <w:bCs/>
                <w:color w:val="000000"/>
                <w:sz w:val="23"/>
                <w:szCs w:val="23"/>
              </w:rPr>
            </w:pPr>
            <w:r>
              <w:rPr>
                <w:b/>
                <w:bCs/>
                <w:color w:val="000000"/>
                <w:sz w:val="23"/>
                <w:szCs w:val="23"/>
              </w:rPr>
              <w:t>19,3</w:t>
            </w:r>
          </w:p>
        </w:tc>
        <w:tc>
          <w:tcPr>
            <w:tcW w:w="1840" w:type="dxa"/>
            <w:tcBorders>
              <w:top w:val="single" w:sz="4" w:space="0" w:color="auto"/>
              <w:left w:val="single" w:sz="4" w:space="0" w:color="auto"/>
              <w:bottom w:val="single" w:sz="4" w:space="0" w:color="auto"/>
              <w:right w:val="single" w:sz="4" w:space="0" w:color="auto"/>
            </w:tcBorders>
            <w:shd w:val="clear" w:color="000000" w:fill="FFFF52"/>
            <w:vAlign w:val="center"/>
          </w:tcPr>
          <w:p w:rsidR="00DC1467" w:rsidRDefault="00B70D3E">
            <w:pPr>
              <w:spacing w:line="240" w:lineRule="auto"/>
              <w:ind w:firstLine="0"/>
              <w:jc w:val="center"/>
              <w:rPr>
                <w:b/>
                <w:bCs/>
                <w:color w:val="000000"/>
                <w:sz w:val="23"/>
                <w:szCs w:val="23"/>
              </w:rPr>
            </w:pPr>
            <w:r>
              <w:rPr>
                <w:b/>
                <w:bCs/>
                <w:color w:val="000000"/>
                <w:sz w:val="23"/>
                <w:szCs w:val="23"/>
              </w:rPr>
              <w:t>38,1</w:t>
            </w:r>
          </w:p>
        </w:tc>
        <w:tc>
          <w:tcPr>
            <w:tcW w:w="1840" w:type="dxa"/>
            <w:tcBorders>
              <w:top w:val="single" w:sz="4" w:space="0" w:color="auto"/>
              <w:left w:val="single" w:sz="4" w:space="0" w:color="auto"/>
              <w:bottom w:val="single" w:sz="4" w:space="0" w:color="auto"/>
              <w:right w:val="single" w:sz="8" w:space="0" w:color="auto"/>
            </w:tcBorders>
            <w:shd w:val="clear" w:color="000000" w:fill="FFFF52"/>
            <w:vAlign w:val="center"/>
          </w:tcPr>
          <w:p w:rsidR="00DC1467" w:rsidRDefault="00B70D3E">
            <w:pPr>
              <w:spacing w:line="240" w:lineRule="auto"/>
              <w:ind w:firstLine="0"/>
              <w:jc w:val="center"/>
              <w:rPr>
                <w:b/>
                <w:bCs/>
                <w:color w:val="000000"/>
                <w:sz w:val="23"/>
                <w:szCs w:val="23"/>
              </w:rPr>
            </w:pPr>
            <w:r>
              <w:rPr>
                <w:b/>
                <w:bCs/>
                <w:color w:val="000000"/>
                <w:sz w:val="23"/>
                <w:szCs w:val="23"/>
              </w:rPr>
              <w:t>35,0</w:t>
            </w:r>
          </w:p>
        </w:tc>
        <w:tc>
          <w:tcPr>
            <w:tcW w:w="2360" w:type="dxa"/>
            <w:tcBorders>
              <w:top w:val="none" w:sz="4" w:space="0" w:color="000000"/>
              <w:left w:val="none" w:sz="4" w:space="0" w:color="000000"/>
              <w:bottom w:val="single" w:sz="4" w:space="0" w:color="auto"/>
              <w:right w:val="single" w:sz="4" w:space="0" w:color="auto"/>
            </w:tcBorders>
            <w:shd w:val="clear" w:color="auto" w:fill="auto"/>
            <w:vAlign w:val="center"/>
          </w:tcPr>
          <w:p w:rsidR="00DC1467" w:rsidRDefault="00B70D3E">
            <w:pPr>
              <w:spacing w:line="240" w:lineRule="auto"/>
              <w:ind w:firstLine="0"/>
              <w:jc w:val="center"/>
              <w:rPr>
                <w:b/>
                <w:bCs/>
                <w:color w:val="000000"/>
                <w:sz w:val="23"/>
                <w:szCs w:val="23"/>
              </w:rPr>
            </w:pPr>
            <w:r>
              <w:rPr>
                <w:b/>
                <w:bCs/>
                <w:color w:val="000000"/>
                <w:sz w:val="23"/>
                <w:szCs w:val="23"/>
              </w:rPr>
              <w:t>-3,1</w:t>
            </w:r>
          </w:p>
        </w:tc>
        <w:tc>
          <w:tcPr>
            <w:tcW w:w="2360" w:type="dxa"/>
            <w:tcBorders>
              <w:top w:val="none" w:sz="4" w:space="0" w:color="000000"/>
              <w:left w:val="none" w:sz="4" w:space="0" w:color="000000"/>
              <w:bottom w:val="single" w:sz="4" w:space="0" w:color="auto"/>
              <w:right w:val="single" w:sz="8" w:space="0" w:color="auto"/>
            </w:tcBorders>
            <w:shd w:val="clear" w:color="auto" w:fill="auto"/>
            <w:vAlign w:val="center"/>
          </w:tcPr>
          <w:p w:rsidR="00DC1467" w:rsidRDefault="00B70D3E">
            <w:pPr>
              <w:spacing w:line="240" w:lineRule="auto"/>
              <w:ind w:firstLine="0"/>
              <w:jc w:val="center"/>
              <w:rPr>
                <w:b/>
                <w:bCs/>
                <w:color w:val="000000"/>
                <w:sz w:val="23"/>
                <w:szCs w:val="23"/>
              </w:rPr>
            </w:pPr>
            <w:r>
              <w:rPr>
                <w:b/>
                <w:bCs/>
                <w:color w:val="000000"/>
                <w:sz w:val="23"/>
                <w:szCs w:val="23"/>
              </w:rPr>
              <w:t>15,7</w:t>
            </w:r>
          </w:p>
        </w:tc>
      </w:tr>
      <w:tr w:rsidR="00DC1467">
        <w:trPr>
          <w:trHeight w:val="227"/>
        </w:trPr>
        <w:tc>
          <w:tcPr>
            <w:tcW w:w="4540" w:type="dxa"/>
            <w:tcBorders>
              <w:top w:val="none" w:sz="4" w:space="0" w:color="000000"/>
              <w:left w:val="single" w:sz="4" w:space="0" w:color="auto"/>
              <w:bottom w:val="single" w:sz="4" w:space="0" w:color="auto"/>
              <w:right w:val="none" w:sz="4" w:space="0" w:color="000000"/>
            </w:tcBorders>
            <w:shd w:val="clear" w:color="auto" w:fill="auto"/>
            <w:vAlign w:val="center"/>
          </w:tcPr>
          <w:p w:rsidR="00DC1467" w:rsidRDefault="00B70D3E">
            <w:pPr>
              <w:spacing w:line="240" w:lineRule="auto"/>
              <w:ind w:firstLine="0"/>
              <w:jc w:val="left"/>
              <w:rPr>
                <w:color w:val="000000"/>
                <w:sz w:val="23"/>
                <w:szCs w:val="23"/>
              </w:rPr>
            </w:pPr>
            <w:r>
              <w:rPr>
                <w:color w:val="000000"/>
                <w:sz w:val="23"/>
                <w:szCs w:val="23"/>
              </w:rPr>
              <w:t>г. Югорск</w:t>
            </w:r>
          </w:p>
        </w:tc>
        <w:tc>
          <w:tcPr>
            <w:tcW w:w="1840" w:type="dxa"/>
            <w:tcBorders>
              <w:top w:val="single" w:sz="4" w:space="0" w:color="auto"/>
              <w:left w:val="single" w:sz="8" w:space="0" w:color="auto"/>
              <w:bottom w:val="single" w:sz="4" w:space="0" w:color="auto"/>
              <w:right w:val="single" w:sz="4" w:space="0" w:color="auto"/>
            </w:tcBorders>
            <w:shd w:val="clear" w:color="000000" w:fill="FFFF52"/>
            <w:vAlign w:val="center"/>
          </w:tcPr>
          <w:p w:rsidR="00DC1467" w:rsidRDefault="00B70D3E">
            <w:pPr>
              <w:spacing w:line="240" w:lineRule="auto"/>
              <w:ind w:firstLine="0"/>
              <w:jc w:val="center"/>
              <w:rPr>
                <w:b/>
                <w:bCs/>
                <w:color w:val="000000"/>
                <w:sz w:val="23"/>
                <w:szCs w:val="23"/>
              </w:rPr>
            </w:pPr>
            <w:r>
              <w:rPr>
                <w:b/>
                <w:bCs/>
                <w:color w:val="000000"/>
                <w:sz w:val="23"/>
                <w:szCs w:val="23"/>
              </w:rPr>
              <w:t>27,8</w:t>
            </w:r>
          </w:p>
        </w:tc>
        <w:tc>
          <w:tcPr>
            <w:tcW w:w="1840" w:type="dxa"/>
            <w:tcBorders>
              <w:top w:val="single" w:sz="4" w:space="0" w:color="auto"/>
              <w:left w:val="single" w:sz="4" w:space="0" w:color="auto"/>
              <w:bottom w:val="single" w:sz="4" w:space="0" w:color="auto"/>
              <w:right w:val="single" w:sz="4" w:space="0" w:color="auto"/>
            </w:tcBorders>
            <w:shd w:val="clear" w:color="000000" w:fill="FFFF52"/>
            <w:vAlign w:val="center"/>
          </w:tcPr>
          <w:p w:rsidR="00DC1467" w:rsidRDefault="00B70D3E">
            <w:pPr>
              <w:spacing w:line="240" w:lineRule="auto"/>
              <w:ind w:firstLine="0"/>
              <w:jc w:val="center"/>
              <w:rPr>
                <w:b/>
                <w:bCs/>
                <w:color w:val="000000"/>
                <w:sz w:val="23"/>
                <w:szCs w:val="23"/>
              </w:rPr>
            </w:pPr>
            <w:r>
              <w:rPr>
                <w:b/>
                <w:bCs/>
                <w:color w:val="000000"/>
                <w:sz w:val="23"/>
                <w:szCs w:val="23"/>
              </w:rPr>
              <w:t>25,4</w:t>
            </w:r>
          </w:p>
        </w:tc>
        <w:tc>
          <w:tcPr>
            <w:tcW w:w="1840" w:type="dxa"/>
            <w:tcBorders>
              <w:top w:val="single" w:sz="4" w:space="0" w:color="auto"/>
              <w:left w:val="single" w:sz="4" w:space="0" w:color="auto"/>
              <w:bottom w:val="single" w:sz="4" w:space="0" w:color="auto"/>
              <w:right w:val="single" w:sz="8" w:space="0" w:color="auto"/>
            </w:tcBorders>
            <w:shd w:val="clear" w:color="000000" w:fill="FFFF52"/>
            <w:vAlign w:val="center"/>
          </w:tcPr>
          <w:p w:rsidR="00DC1467" w:rsidRDefault="00B70D3E">
            <w:pPr>
              <w:spacing w:line="240" w:lineRule="auto"/>
              <w:ind w:firstLine="0"/>
              <w:jc w:val="center"/>
              <w:rPr>
                <w:b/>
                <w:bCs/>
                <w:color w:val="000000"/>
                <w:sz w:val="23"/>
                <w:szCs w:val="23"/>
              </w:rPr>
            </w:pPr>
            <w:r>
              <w:rPr>
                <w:b/>
                <w:bCs/>
                <w:color w:val="000000"/>
                <w:sz w:val="23"/>
                <w:szCs w:val="23"/>
              </w:rPr>
              <w:t>34,2</w:t>
            </w:r>
          </w:p>
        </w:tc>
        <w:tc>
          <w:tcPr>
            <w:tcW w:w="2360" w:type="dxa"/>
            <w:tcBorders>
              <w:top w:val="none" w:sz="4" w:space="0" w:color="000000"/>
              <w:left w:val="none" w:sz="4" w:space="0" w:color="000000"/>
              <w:bottom w:val="single" w:sz="4" w:space="0" w:color="auto"/>
              <w:right w:val="single" w:sz="4" w:space="0" w:color="auto"/>
            </w:tcBorders>
            <w:shd w:val="clear" w:color="auto" w:fill="auto"/>
            <w:vAlign w:val="center"/>
          </w:tcPr>
          <w:p w:rsidR="00DC1467" w:rsidRDefault="00B70D3E">
            <w:pPr>
              <w:spacing w:line="240" w:lineRule="auto"/>
              <w:ind w:firstLine="0"/>
              <w:jc w:val="center"/>
              <w:rPr>
                <w:b/>
                <w:bCs/>
                <w:color w:val="000000"/>
                <w:sz w:val="23"/>
                <w:szCs w:val="23"/>
              </w:rPr>
            </w:pPr>
            <w:r>
              <w:rPr>
                <w:b/>
                <w:bCs/>
                <w:color w:val="000000"/>
                <w:sz w:val="23"/>
                <w:szCs w:val="23"/>
              </w:rPr>
              <w:t>8,8</w:t>
            </w:r>
          </w:p>
        </w:tc>
        <w:tc>
          <w:tcPr>
            <w:tcW w:w="2360" w:type="dxa"/>
            <w:tcBorders>
              <w:top w:val="none" w:sz="4" w:space="0" w:color="000000"/>
              <w:left w:val="none" w:sz="4" w:space="0" w:color="000000"/>
              <w:bottom w:val="single" w:sz="4" w:space="0" w:color="auto"/>
              <w:right w:val="single" w:sz="8" w:space="0" w:color="auto"/>
            </w:tcBorders>
            <w:shd w:val="clear" w:color="auto" w:fill="auto"/>
            <w:vAlign w:val="center"/>
          </w:tcPr>
          <w:p w:rsidR="00DC1467" w:rsidRDefault="00B70D3E">
            <w:pPr>
              <w:spacing w:line="240" w:lineRule="auto"/>
              <w:ind w:firstLine="0"/>
              <w:jc w:val="center"/>
              <w:rPr>
                <w:b/>
                <w:bCs/>
                <w:color w:val="000000"/>
                <w:sz w:val="23"/>
                <w:szCs w:val="23"/>
              </w:rPr>
            </w:pPr>
            <w:r>
              <w:rPr>
                <w:b/>
                <w:bCs/>
                <w:color w:val="000000"/>
                <w:sz w:val="23"/>
                <w:szCs w:val="23"/>
              </w:rPr>
              <w:t>6,4</w:t>
            </w:r>
          </w:p>
        </w:tc>
      </w:tr>
      <w:tr w:rsidR="00DC1467">
        <w:trPr>
          <w:trHeight w:val="227"/>
        </w:trPr>
        <w:tc>
          <w:tcPr>
            <w:tcW w:w="4540" w:type="dxa"/>
            <w:tcBorders>
              <w:top w:val="none" w:sz="4" w:space="0" w:color="000000"/>
              <w:left w:val="single" w:sz="4" w:space="0" w:color="auto"/>
              <w:bottom w:val="single" w:sz="4" w:space="0" w:color="auto"/>
              <w:right w:val="none" w:sz="4" w:space="0" w:color="000000"/>
            </w:tcBorders>
            <w:shd w:val="clear" w:color="auto" w:fill="auto"/>
            <w:vAlign w:val="center"/>
          </w:tcPr>
          <w:p w:rsidR="00DC1467" w:rsidRDefault="00B70D3E">
            <w:pPr>
              <w:spacing w:line="240" w:lineRule="auto"/>
              <w:ind w:firstLine="0"/>
              <w:jc w:val="left"/>
              <w:rPr>
                <w:color w:val="000000"/>
                <w:sz w:val="23"/>
                <w:szCs w:val="23"/>
              </w:rPr>
            </w:pPr>
            <w:r>
              <w:rPr>
                <w:color w:val="000000"/>
                <w:sz w:val="23"/>
                <w:szCs w:val="23"/>
              </w:rPr>
              <w:t>Белоярский район</w:t>
            </w:r>
          </w:p>
        </w:tc>
        <w:tc>
          <w:tcPr>
            <w:tcW w:w="1840" w:type="dxa"/>
            <w:tcBorders>
              <w:top w:val="single" w:sz="4" w:space="0" w:color="auto"/>
              <w:left w:val="single" w:sz="8"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b/>
                <w:bCs/>
                <w:color w:val="000000"/>
                <w:sz w:val="23"/>
                <w:szCs w:val="23"/>
              </w:rPr>
            </w:pPr>
            <w:r>
              <w:rPr>
                <w:b/>
                <w:bCs/>
                <w:color w:val="000000"/>
                <w:sz w:val="23"/>
                <w:szCs w:val="23"/>
              </w:rPr>
              <w:t>6,6</w:t>
            </w:r>
          </w:p>
        </w:tc>
        <w:tc>
          <w:tcPr>
            <w:tcW w:w="1840"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b/>
                <w:bCs/>
                <w:color w:val="000000"/>
                <w:sz w:val="23"/>
                <w:szCs w:val="23"/>
              </w:rPr>
            </w:pPr>
            <w:r>
              <w:rPr>
                <w:b/>
                <w:bCs/>
                <w:color w:val="000000"/>
                <w:sz w:val="23"/>
                <w:szCs w:val="23"/>
              </w:rPr>
              <w:t>6,5</w:t>
            </w:r>
          </w:p>
        </w:tc>
        <w:tc>
          <w:tcPr>
            <w:tcW w:w="1840" w:type="dxa"/>
            <w:tcBorders>
              <w:top w:val="single" w:sz="4" w:space="0" w:color="auto"/>
              <w:left w:val="single" w:sz="4" w:space="0" w:color="auto"/>
              <w:bottom w:val="single" w:sz="4" w:space="0" w:color="auto"/>
              <w:right w:val="single" w:sz="8" w:space="0" w:color="auto"/>
            </w:tcBorders>
            <w:shd w:val="clear" w:color="000000" w:fill="AFDD7D"/>
            <w:vAlign w:val="center"/>
          </w:tcPr>
          <w:p w:rsidR="00DC1467" w:rsidRDefault="00B70D3E">
            <w:pPr>
              <w:spacing w:line="240" w:lineRule="auto"/>
              <w:ind w:firstLine="0"/>
              <w:jc w:val="center"/>
              <w:rPr>
                <w:b/>
                <w:bCs/>
                <w:color w:val="000000"/>
                <w:sz w:val="23"/>
                <w:szCs w:val="23"/>
              </w:rPr>
            </w:pPr>
            <w:r>
              <w:rPr>
                <w:b/>
                <w:bCs/>
                <w:color w:val="000000"/>
                <w:sz w:val="23"/>
                <w:szCs w:val="23"/>
              </w:rPr>
              <w:t>1,4</w:t>
            </w:r>
          </w:p>
        </w:tc>
        <w:tc>
          <w:tcPr>
            <w:tcW w:w="2360" w:type="dxa"/>
            <w:tcBorders>
              <w:top w:val="none" w:sz="4" w:space="0" w:color="000000"/>
              <w:left w:val="none" w:sz="4" w:space="0" w:color="000000"/>
              <w:bottom w:val="single" w:sz="4" w:space="0" w:color="auto"/>
              <w:right w:val="single" w:sz="4" w:space="0" w:color="auto"/>
            </w:tcBorders>
            <w:shd w:val="clear" w:color="auto" w:fill="auto"/>
            <w:vAlign w:val="center"/>
          </w:tcPr>
          <w:p w:rsidR="00DC1467" w:rsidRDefault="00B70D3E">
            <w:pPr>
              <w:spacing w:line="240" w:lineRule="auto"/>
              <w:ind w:firstLine="0"/>
              <w:jc w:val="center"/>
              <w:rPr>
                <w:b/>
                <w:bCs/>
                <w:color w:val="000000"/>
                <w:sz w:val="23"/>
                <w:szCs w:val="23"/>
              </w:rPr>
            </w:pPr>
            <w:r>
              <w:rPr>
                <w:b/>
                <w:bCs/>
                <w:color w:val="000000"/>
                <w:sz w:val="23"/>
                <w:szCs w:val="23"/>
              </w:rPr>
              <w:t>-5,1</w:t>
            </w:r>
          </w:p>
        </w:tc>
        <w:tc>
          <w:tcPr>
            <w:tcW w:w="2360" w:type="dxa"/>
            <w:tcBorders>
              <w:top w:val="none" w:sz="4" w:space="0" w:color="000000"/>
              <w:left w:val="none" w:sz="4" w:space="0" w:color="000000"/>
              <w:bottom w:val="single" w:sz="4" w:space="0" w:color="auto"/>
              <w:right w:val="single" w:sz="8" w:space="0" w:color="auto"/>
            </w:tcBorders>
            <w:shd w:val="clear" w:color="auto" w:fill="auto"/>
            <w:vAlign w:val="center"/>
          </w:tcPr>
          <w:p w:rsidR="00DC1467" w:rsidRDefault="00B70D3E">
            <w:pPr>
              <w:spacing w:line="240" w:lineRule="auto"/>
              <w:ind w:firstLine="0"/>
              <w:jc w:val="center"/>
              <w:rPr>
                <w:b/>
                <w:bCs/>
                <w:color w:val="000000"/>
                <w:sz w:val="23"/>
                <w:szCs w:val="23"/>
              </w:rPr>
            </w:pPr>
            <w:r>
              <w:rPr>
                <w:b/>
                <w:bCs/>
                <w:color w:val="000000"/>
                <w:sz w:val="23"/>
                <w:szCs w:val="23"/>
              </w:rPr>
              <w:t>-5,3</w:t>
            </w:r>
          </w:p>
        </w:tc>
      </w:tr>
      <w:tr w:rsidR="00DC1467">
        <w:trPr>
          <w:trHeight w:val="227"/>
        </w:trPr>
        <w:tc>
          <w:tcPr>
            <w:tcW w:w="4540" w:type="dxa"/>
            <w:tcBorders>
              <w:top w:val="none" w:sz="4" w:space="0" w:color="000000"/>
              <w:left w:val="single" w:sz="4" w:space="0" w:color="auto"/>
              <w:bottom w:val="single" w:sz="4" w:space="0" w:color="auto"/>
              <w:right w:val="none" w:sz="4" w:space="0" w:color="000000"/>
            </w:tcBorders>
            <w:shd w:val="clear" w:color="auto" w:fill="auto"/>
            <w:vAlign w:val="center"/>
          </w:tcPr>
          <w:p w:rsidR="00DC1467" w:rsidRDefault="00B70D3E">
            <w:pPr>
              <w:spacing w:line="240" w:lineRule="auto"/>
              <w:ind w:firstLine="0"/>
              <w:jc w:val="left"/>
              <w:rPr>
                <w:color w:val="000000"/>
                <w:sz w:val="23"/>
                <w:szCs w:val="23"/>
              </w:rPr>
            </w:pPr>
            <w:r>
              <w:rPr>
                <w:color w:val="000000"/>
                <w:sz w:val="23"/>
                <w:szCs w:val="23"/>
              </w:rPr>
              <w:t>Березовский район</w:t>
            </w:r>
          </w:p>
        </w:tc>
        <w:tc>
          <w:tcPr>
            <w:tcW w:w="1840" w:type="dxa"/>
            <w:tcBorders>
              <w:top w:val="single" w:sz="4" w:space="0" w:color="auto"/>
              <w:left w:val="single" w:sz="8"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b/>
                <w:bCs/>
                <w:color w:val="000000"/>
                <w:sz w:val="23"/>
                <w:szCs w:val="23"/>
              </w:rPr>
            </w:pPr>
            <w:r>
              <w:rPr>
                <w:b/>
                <w:bCs/>
                <w:color w:val="000000"/>
                <w:sz w:val="23"/>
                <w:szCs w:val="23"/>
              </w:rPr>
              <w:t>2,2</w:t>
            </w:r>
          </w:p>
        </w:tc>
        <w:tc>
          <w:tcPr>
            <w:tcW w:w="1840"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b/>
                <w:bCs/>
                <w:color w:val="000000"/>
                <w:sz w:val="23"/>
                <w:szCs w:val="23"/>
              </w:rPr>
            </w:pPr>
            <w:r>
              <w:rPr>
                <w:b/>
                <w:bCs/>
                <w:color w:val="000000"/>
                <w:sz w:val="23"/>
                <w:szCs w:val="23"/>
              </w:rPr>
              <w:t>6,4</w:t>
            </w:r>
          </w:p>
        </w:tc>
        <w:tc>
          <w:tcPr>
            <w:tcW w:w="1840" w:type="dxa"/>
            <w:tcBorders>
              <w:top w:val="single" w:sz="4" w:space="0" w:color="auto"/>
              <w:left w:val="single" w:sz="4" w:space="0" w:color="auto"/>
              <w:bottom w:val="single" w:sz="4" w:space="0" w:color="auto"/>
              <w:right w:val="single" w:sz="8" w:space="0" w:color="auto"/>
            </w:tcBorders>
            <w:shd w:val="clear" w:color="000000" w:fill="AFDD7D"/>
            <w:vAlign w:val="center"/>
          </w:tcPr>
          <w:p w:rsidR="00DC1467" w:rsidRDefault="00B70D3E">
            <w:pPr>
              <w:spacing w:line="240" w:lineRule="auto"/>
              <w:ind w:firstLine="0"/>
              <w:jc w:val="center"/>
              <w:rPr>
                <w:b/>
                <w:bCs/>
                <w:color w:val="000000"/>
                <w:sz w:val="23"/>
                <w:szCs w:val="23"/>
              </w:rPr>
            </w:pPr>
            <w:r>
              <w:rPr>
                <w:b/>
                <w:bCs/>
                <w:color w:val="000000"/>
                <w:sz w:val="23"/>
                <w:szCs w:val="23"/>
              </w:rPr>
              <w:t>18,2</w:t>
            </w:r>
          </w:p>
        </w:tc>
        <w:tc>
          <w:tcPr>
            <w:tcW w:w="2360" w:type="dxa"/>
            <w:tcBorders>
              <w:top w:val="none" w:sz="4" w:space="0" w:color="000000"/>
              <w:left w:val="none" w:sz="4" w:space="0" w:color="000000"/>
              <w:bottom w:val="single" w:sz="4" w:space="0" w:color="auto"/>
              <w:right w:val="single" w:sz="4" w:space="0" w:color="auto"/>
            </w:tcBorders>
            <w:shd w:val="clear" w:color="auto" w:fill="auto"/>
            <w:vAlign w:val="center"/>
          </w:tcPr>
          <w:p w:rsidR="00DC1467" w:rsidRDefault="00B70D3E">
            <w:pPr>
              <w:spacing w:line="240" w:lineRule="auto"/>
              <w:ind w:firstLine="0"/>
              <w:jc w:val="center"/>
              <w:rPr>
                <w:b/>
                <w:bCs/>
                <w:color w:val="000000"/>
                <w:sz w:val="23"/>
                <w:szCs w:val="23"/>
              </w:rPr>
            </w:pPr>
            <w:r>
              <w:rPr>
                <w:b/>
                <w:bCs/>
                <w:color w:val="000000"/>
                <w:sz w:val="23"/>
                <w:szCs w:val="23"/>
              </w:rPr>
              <w:t>11,7</w:t>
            </w:r>
          </w:p>
        </w:tc>
        <w:tc>
          <w:tcPr>
            <w:tcW w:w="2360" w:type="dxa"/>
            <w:tcBorders>
              <w:top w:val="none" w:sz="4" w:space="0" w:color="000000"/>
              <w:left w:val="none" w:sz="4" w:space="0" w:color="000000"/>
              <w:bottom w:val="single" w:sz="4" w:space="0" w:color="auto"/>
              <w:right w:val="single" w:sz="8" w:space="0" w:color="auto"/>
            </w:tcBorders>
            <w:shd w:val="clear" w:color="auto" w:fill="auto"/>
            <w:vAlign w:val="center"/>
          </w:tcPr>
          <w:p w:rsidR="00DC1467" w:rsidRDefault="00B70D3E">
            <w:pPr>
              <w:spacing w:line="240" w:lineRule="auto"/>
              <w:ind w:firstLine="0"/>
              <w:jc w:val="center"/>
              <w:rPr>
                <w:b/>
                <w:bCs/>
                <w:color w:val="000000"/>
                <w:sz w:val="23"/>
                <w:szCs w:val="23"/>
              </w:rPr>
            </w:pPr>
            <w:r>
              <w:rPr>
                <w:b/>
                <w:bCs/>
                <w:color w:val="000000"/>
                <w:sz w:val="23"/>
                <w:szCs w:val="23"/>
              </w:rPr>
              <w:t>15,9</w:t>
            </w:r>
          </w:p>
        </w:tc>
      </w:tr>
      <w:tr w:rsidR="00DC1467">
        <w:trPr>
          <w:trHeight w:val="227"/>
        </w:trPr>
        <w:tc>
          <w:tcPr>
            <w:tcW w:w="4540" w:type="dxa"/>
            <w:tcBorders>
              <w:top w:val="none" w:sz="4" w:space="0" w:color="000000"/>
              <w:left w:val="single" w:sz="4" w:space="0" w:color="auto"/>
              <w:bottom w:val="single" w:sz="4" w:space="0" w:color="auto"/>
              <w:right w:val="none" w:sz="4" w:space="0" w:color="000000"/>
            </w:tcBorders>
            <w:shd w:val="clear" w:color="auto" w:fill="auto"/>
            <w:vAlign w:val="center"/>
          </w:tcPr>
          <w:p w:rsidR="00DC1467" w:rsidRDefault="00B70D3E">
            <w:pPr>
              <w:spacing w:line="240" w:lineRule="auto"/>
              <w:ind w:firstLine="0"/>
              <w:jc w:val="left"/>
              <w:rPr>
                <w:color w:val="000000"/>
                <w:sz w:val="23"/>
                <w:szCs w:val="23"/>
              </w:rPr>
            </w:pPr>
            <w:r>
              <w:rPr>
                <w:color w:val="000000"/>
                <w:sz w:val="23"/>
                <w:szCs w:val="23"/>
              </w:rPr>
              <w:t>Кондинский район</w:t>
            </w:r>
          </w:p>
        </w:tc>
        <w:tc>
          <w:tcPr>
            <w:tcW w:w="1840" w:type="dxa"/>
            <w:tcBorders>
              <w:top w:val="single" w:sz="4" w:space="0" w:color="auto"/>
              <w:left w:val="single" w:sz="8"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b/>
                <w:bCs/>
                <w:color w:val="000000"/>
                <w:sz w:val="23"/>
                <w:szCs w:val="23"/>
              </w:rPr>
            </w:pPr>
            <w:r>
              <w:rPr>
                <w:b/>
                <w:bCs/>
                <w:color w:val="000000"/>
                <w:sz w:val="23"/>
                <w:szCs w:val="23"/>
              </w:rPr>
              <w:t>5,2</w:t>
            </w:r>
          </w:p>
        </w:tc>
        <w:tc>
          <w:tcPr>
            <w:tcW w:w="1840"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b/>
                <w:bCs/>
                <w:color w:val="000000"/>
                <w:sz w:val="23"/>
                <w:szCs w:val="23"/>
              </w:rPr>
            </w:pPr>
            <w:r>
              <w:rPr>
                <w:b/>
                <w:bCs/>
                <w:color w:val="000000"/>
                <w:sz w:val="23"/>
                <w:szCs w:val="23"/>
              </w:rPr>
              <w:t>9,4</w:t>
            </w:r>
          </w:p>
        </w:tc>
        <w:tc>
          <w:tcPr>
            <w:tcW w:w="1840" w:type="dxa"/>
            <w:tcBorders>
              <w:top w:val="single" w:sz="4" w:space="0" w:color="auto"/>
              <w:left w:val="single" w:sz="4" w:space="0" w:color="auto"/>
              <w:bottom w:val="single" w:sz="4" w:space="0" w:color="auto"/>
              <w:right w:val="single" w:sz="8" w:space="0" w:color="auto"/>
            </w:tcBorders>
            <w:shd w:val="clear" w:color="000000" w:fill="FFFF52"/>
            <w:vAlign w:val="center"/>
          </w:tcPr>
          <w:p w:rsidR="00DC1467" w:rsidRDefault="00B70D3E">
            <w:pPr>
              <w:spacing w:line="240" w:lineRule="auto"/>
              <w:ind w:firstLine="0"/>
              <w:jc w:val="center"/>
              <w:rPr>
                <w:b/>
                <w:bCs/>
                <w:color w:val="000000"/>
                <w:sz w:val="23"/>
                <w:szCs w:val="23"/>
              </w:rPr>
            </w:pPr>
            <w:r>
              <w:rPr>
                <w:b/>
                <w:bCs/>
                <w:color w:val="000000"/>
                <w:sz w:val="23"/>
                <w:szCs w:val="23"/>
              </w:rPr>
              <w:t>30,4</w:t>
            </w:r>
          </w:p>
        </w:tc>
        <w:tc>
          <w:tcPr>
            <w:tcW w:w="2360" w:type="dxa"/>
            <w:tcBorders>
              <w:top w:val="none" w:sz="4" w:space="0" w:color="000000"/>
              <w:left w:val="none" w:sz="4" w:space="0" w:color="000000"/>
              <w:bottom w:val="single" w:sz="4" w:space="0" w:color="auto"/>
              <w:right w:val="single" w:sz="4" w:space="0" w:color="auto"/>
            </w:tcBorders>
            <w:shd w:val="clear" w:color="auto" w:fill="auto"/>
            <w:vAlign w:val="center"/>
          </w:tcPr>
          <w:p w:rsidR="00DC1467" w:rsidRDefault="00B70D3E">
            <w:pPr>
              <w:spacing w:line="240" w:lineRule="auto"/>
              <w:ind w:firstLine="0"/>
              <w:jc w:val="center"/>
              <w:rPr>
                <w:b/>
                <w:bCs/>
                <w:color w:val="000000"/>
                <w:sz w:val="23"/>
                <w:szCs w:val="23"/>
              </w:rPr>
            </w:pPr>
            <w:r>
              <w:rPr>
                <w:b/>
                <w:bCs/>
                <w:color w:val="000000"/>
                <w:sz w:val="23"/>
                <w:szCs w:val="23"/>
              </w:rPr>
              <w:t>21,0</w:t>
            </w:r>
          </w:p>
        </w:tc>
        <w:tc>
          <w:tcPr>
            <w:tcW w:w="2360" w:type="dxa"/>
            <w:tcBorders>
              <w:top w:val="none" w:sz="4" w:space="0" w:color="000000"/>
              <w:left w:val="none" w:sz="4" w:space="0" w:color="000000"/>
              <w:bottom w:val="single" w:sz="4" w:space="0" w:color="auto"/>
              <w:right w:val="single" w:sz="8" w:space="0" w:color="auto"/>
            </w:tcBorders>
            <w:shd w:val="clear" w:color="auto" w:fill="auto"/>
            <w:vAlign w:val="center"/>
          </w:tcPr>
          <w:p w:rsidR="00DC1467" w:rsidRDefault="00B70D3E">
            <w:pPr>
              <w:spacing w:line="240" w:lineRule="auto"/>
              <w:ind w:firstLine="0"/>
              <w:jc w:val="center"/>
              <w:rPr>
                <w:b/>
                <w:bCs/>
                <w:color w:val="000000"/>
                <w:sz w:val="23"/>
                <w:szCs w:val="23"/>
              </w:rPr>
            </w:pPr>
            <w:r>
              <w:rPr>
                <w:b/>
                <w:bCs/>
                <w:color w:val="000000"/>
                <w:sz w:val="23"/>
                <w:szCs w:val="23"/>
              </w:rPr>
              <w:t>25,2</w:t>
            </w:r>
          </w:p>
        </w:tc>
      </w:tr>
      <w:tr w:rsidR="00DC1467">
        <w:trPr>
          <w:trHeight w:val="227"/>
        </w:trPr>
        <w:tc>
          <w:tcPr>
            <w:tcW w:w="4540" w:type="dxa"/>
            <w:tcBorders>
              <w:top w:val="none" w:sz="4" w:space="0" w:color="000000"/>
              <w:left w:val="single" w:sz="4" w:space="0" w:color="auto"/>
              <w:bottom w:val="single" w:sz="4" w:space="0" w:color="auto"/>
              <w:right w:val="none" w:sz="4" w:space="0" w:color="000000"/>
            </w:tcBorders>
            <w:shd w:val="clear" w:color="auto" w:fill="auto"/>
            <w:vAlign w:val="center"/>
          </w:tcPr>
          <w:p w:rsidR="00DC1467" w:rsidRDefault="00B70D3E">
            <w:pPr>
              <w:spacing w:line="240" w:lineRule="auto"/>
              <w:ind w:firstLine="0"/>
              <w:jc w:val="left"/>
              <w:rPr>
                <w:color w:val="000000"/>
                <w:sz w:val="23"/>
                <w:szCs w:val="23"/>
              </w:rPr>
            </w:pPr>
            <w:r>
              <w:rPr>
                <w:color w:val="000000"/>
                <w:sz w:val="23"/>
                <w:szCs w:val="23"/>
              </w:rPr>
              <w:t>Нефтеюганский район</w:t>
            </w:r>
          </w:p>
        </w:tc>
        <w:tc>
          <w:tcPr>
            <w:tcW w:w="1840" w:type="dxa"/>
            <w:tcBorders>
              <w:top w:val="single" w:sz="4" w:space="0" w:color="auto"/>
              <w:left w:val="single" w:sz="8"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b/>
                <w:bCs/>
                <w:color w:val="000000"/>
                <w:sz w:val="23"/>
                <w:szCs w:val="23"/>
              </w:rPr>
            </w:pPr>
            <w:r>
              <w:rPr>
                <w:b/>
                <w:bCs/>
                <w:color w:val="000000"/>
                <w:sz w:val="23"/>
                <w:szCs w:val="23"/>
              </w:rPr>
              <w:t>9,8</w:t>
            </w:r>
          </w:p>
        </w:tc>
        <w:tc>
          <w:tcPr>
            <w:tcW w:w="1840"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b/>
                <w:bCs/>
                <w:color w:val="000000"/>
                <w:sz w:val="23"/>
                <w:szCs w:val="23"/>
              </w:rPr>
            </w:pPr>
            <w:r>
              <w:rPr>
                <w:b/>
                <w:bCs/>
                <w:color w:val="000000"/>
                <w:sz w:val="23"/>
                <w:szCs w:val="23"/>
              </w:rPr>
              <w:t>14,5</w:t>
            </w:r>
          </w:p>
        </w:tc>
        <w:tc>
          <w:tcPr>
            <w:tcW w:w="1840" w:type="dxa"/>
            <w:tcBorders>
              <w:top w:val="single" w:sz="4" w:space="0" w:color="auto"/>
              <w:left w:val="single" w:sz="4" w:space="0" w:color="auto"/>
              <w:bottom w:val="single" w:sz="4" w:space="0" w:color="auto"/>
              <w:right w:val="single" w:sz="8" w:space="0" w:color="auto"/>
            </w:tcBorders>
            <w:shd w:val="clear" w:color="000000" w:fill="AFDD7D"/>
            <w:vAlign w:val="center"/>
          </w:tcPr>
          <w:p w:rsidR="00DC1467" w:rsidRDefault="00B70D3E">
            <w:pPr>
              <w:spacing w:line="240" w:lineRule="auto"/>
              <w:ind w:firstLine="0"/>
              <w:jc w:val="center"/>
              <w:rPr>
                <w:b/>
                <w:bCs/>
                <w:color w:val="000000"/>
                <w:sz w:val="23"/>
                <w:szCs w:val="23"/>
              </w:rPr>
            </w:pPr>
            <w:r>
              <w:rPr>
                <w:b/>
                <w:bCs/>
                <w:color w:val="000000"/>
                <w:sz w:val="23"/>
                <w:szCs w:val="23"/>
              </w:rPr>
              <w:t>7,5</w:t>
            </w:r>
          </w:p>
        </w:tc>
        <w:tc>
          <w:tcPr>
            <w:tcW w:w="2360" w:type="dxa"/>
            <w:tcBorders>
              <w:top w:val="none" w:sz="4" w:space="0" w:color="000000"/>
              <w:left w:val="none" w:sz="4" w:space="0" w:color="000000"/>
              <w:bottom w:val="single" w:sz="4" w:space="0" w:color="auto"/>
              <w:right w:val="single" w:sz="4" w:space="0" w:color="auto"/>
            </w:tcBorders>
            <w:shd w:val="clear" w:color="auto" w:fill="auto"/>
            <w:vAlign w:val="center"/>
          </w:tcPr>
          <w:p w:rsidR="00DC1467" w:rsidRDefault="00B70D3E">
            <w:pPr>
              <w:spacing w:line="240" w:lineRule="auto"/>
              <w:ind w:firstLine="0"/>
              <w:jc w:val="center"/>
              <w:rPr>
                <w:b/>
                <w:bCs/>
                <w:color w:val="000000"/>
                <w:sz w:val="23"/>
                <w:szCs w:val="23"/>
              </w:rPr>
            </w:pPr>
            <w:r>
              <w:rPr>
                <w:b/>
                <w:bCs/>
                <w:color w:val="000000"/>
                <w:sz w:val="23"/>
                <w:szCs w:val="23"/>
              </w:rPr>
              <w:t>-7,0</w:t>
            </w:r>
          </w:p>
        </w:tc>
        <w:tc>
          <w:tcPr>
            <w:tcW w:w="2360" w:type="dxa"/>
            <w:tcBorders>
              <w:top w:val="none" w:sz="4" w:space="0" w:color="000000"/>
              <w:left w:val="none" w:sz="4" w:space="0" w:color="000000"/>
              <w:bottom w:val="single" w:sz="4" w:space="0" w:color="auto"/>
              <w:right w:val="single" w:sz="8" w:space="0" w:color="auto"/>
            </w:tcBorders>
            <w:shd w:val="clear" w:color="auto" w:fill="auto"/>
            <w:vAlign w:val="center"/>
          </w:tcPr>
          <w:p w:rsidR="00DC1467" w:rsidRDefault="00B70D3E">
            <w:pPr>
              <w:spacing w:line="240" w:lineRule="auto"/>
              <w:ind w:firstLine="0"/>
              <w:jc w:val="center"/>
              <w:rPr>
                <w:b/>
                <w:bCs/>
                <w:color w:val="000000"/>
                <w:sz w:val="23"/>
                <w:szCs w:val="23"/>
              </w:rPr>
            </w:pPr>
            <w:r>
              <w:rPr>
                <w:b/>
                <w:bCs/>
                <w:color w:val="000000"/>
                <w:sz w:val="23"/>
                <w:szCs w:val="23"/>
              </w:rPr>
              <w:t>-2,4</w:t>
            </w:r>
          </w:p>
        </w:tc>
      </w:tr>
      <w:tr w:rsidR="00DC1467">
        <w:trPr>
          <w:trHeight w:val="227"/>
        </w:trPr>
        <w:tc>
          <w:tcPr>
            <w:tcW w:w="4540" w:type="dxa"/>
            <w:tcBorders>
              <w:top w:val="none" w:sz="4" w:space="0" w:color="000000"/>
              <w:left w:val="single" w:sz="4" w:space="0" w:color="auto"/>
              <w:bottom w:val="single" w:sz="4" w:space="0" w:color="auto"/>
              <w:right w:val="none" w:sz="4" w:space="0" w:color="000000"/>
            </w:tcBorders>
            <w:shd w:val="clear" w:color="auto" w:fill="auto"/>
            <w:vAlign w:val="center"/>
          </w:tcPr>
          <w:p w:rsidR="00DC1467" w:rsidRDefault="00B70D3E">
            <w:pPr>
              <w:spacing w:line="240" w:lineRule="auto"/>
              <w:ind w:firstLine="0"/>
              <w:jc w:val="left"/>
              <w:rPr>
                <w:color w:val="000000"/>
                <w:sz w:val="23"/>
                <w:szCs w:val="23"/>
              </w:rPr>
            </w:pPr>
            <w:r>
              <w:rPr>
                <w:color w:val="000000"/>
                <w:sz w:val="23"/>
                <w:szCs w:val="23"/>
              </w:rPr>
              <w:t>Нижневартовский район</w:t>
            </w:r>
          </w:p>
        </w:tc>
        <w:tc>
          <w:tcPr>
            <w:tcW w:w="1840" w:type="dxa"/>
            <w:tcBorders>
              <w:top w:val="single" w:sz="4" w:space="0" w:color="auto"/>
              <w:left w:val="single" w:sz="8" w:space="0" w:color="auto"/>
              <w:bottom w:val="single" w:sz="4" w:space="0" w:color="auto"/>
              <w:right w:val="single" w:sz="4" w:space="0" w:color="auto"/>
            </w:tcBorders>
            <w:shd w:val="clear" w:color="000000" w:fill="FFFF52"/>
            <w:vAlign w:val="center"/>
          </w:tcPr>
          <w:p w:rsidR="00DC1467" w:rsidRDefault="00B70D3E">
            <w:pPr>
              <w:spacing w:line="240" w:lineRule="auto"/>
              <w:ind w:firstLine="0"/>
              <w:jc w:val="center"/>
              <w:rPr>
                <w:b/>
                <w:bCs/>
                <w:color w:val="000000"/>
                <w:sz w:val="23"/>
                <w:szCs w:val="23"/>
              </w:rPr>
            </w:pPr>
            <w:r>
              <w:rPr>
                <w:b/>
                <w:bCs/>
                <w:color w:val="000000"/>
                <w:sz w:val="23"/>
                <w:szCs w:val="23"/>
              </w:rPr>
              <w:t>32,6</w:t>
            </w:r>
          </w:p>
        </w:tc>
        <w:tc>
          <w:tcPr>
            <w:tcW w:w="1840"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b/>
                <w:bCs/>
                <w:color w:val="000000"/>
                <w:sz w:val="23"/>
                <w:szCs w:val="23"/>
              </w:rPr>
            </w:pPr>
            <w:r>
              <w:rPr>
                <w:b/>
                <w:bCs/>
                <w:color w:val="000000"/>
                <w:sz w:val="23"/>
                <w:szCs w:val="23"/>
              </w:rPr>
              <w:t>22,1</w:t>
            </w:r>
          </w:p>
        </w:tc>
        <w:tc>
          <w:tcPr>
            <w:tcW w:w="1840" w:type="dxa"/>
            <w:tcBorders>
              <w:top w:val="single" w:sz="4" w:space="0" w:color="auto"/>
              <w:left w:val="single" w:sz="4" w:space="0" w:color="auto"/>
              <w:bottom w:val="single" w:sz="4" w:space="0" w:color="auto"/>
              <w:right w:val="single" w:sz="8" w:space="0" w:color="auto"/>
            </w:tcBorders>
            <w:shd w:val="clear" w:color="000000" w:fill="FFFF52"/>
            <w:vAlign w:val="center"/>
          </w:tcPr>
          <w:p w:rsidR="00DC1467" w:rsidRDefault="00B70D3E">
            <w:pPr>
              <w:spacing w:line="240" w:lineRule="auto"/>
              <w:ind w:firstLine="0"/>
              <w:jc w:val="center"/>
              <w:rPr>
                <w:b/>
                <w:bCs/>
                <w:color w:val="000000"/>
                <w:sz w:val="23"/>
                <w:szCs w:val="23"/>
              </w:rPr>
            </w:pPr>
            <w:r>
              <w:rPr>
                <w:b/>
                <w:bCs/>
                <w:color w:val="000000"/>
                <w:sz w:val="23"/>
                <w:szCs w:val="23"/>
              </w:rPr>
              <w:t>32,6</w:t>
            </w:r>
          </w:p>
        </w:tc>
        <w:tc>
          <w:tcPr>
            <w:tcW w:w="2360" w:type="dxa"/>
            <w:tcBorders>
              <w:top w:val="none" w:sz="4" w:space="0" w:color="000000"/>
              <w:left w:val="none" w:sz="4" w:space="0" w:color="000000"/>
              <w:bottom w:val="single" w:sz="4" w:space="0" w:color="auto"/>
              <w:right w:val="single" w:sz="4" w:space="0" w:color="auto"/>
            </w:tcBorders>
            <w:shd w:val="clear" w:color="auto" w:fill="auto"/>
            <w:vAlign w:val="center"/>
          </w:tcPr>
          <w:p w:rsidR="00DC1467" w:rsidRDefault="00B70D3E">
            <w:pPr>
              <w:spacing w:line="240" w:lineRule="auto"/>
              <w:ind w:firstLine="0"/>
              <w:jc w:val="center"/>
              <w:rPr>
                <w:b/>
                <w:bCs/>
                <w:color w:val="000000"/>
                <w:sz w:val="23"/>
                <w:szCs w:val="23"/>
              </w:rPr>
            </w:pPr>
            <w:r>
              <w:rPr>
                <w:b/>
                <w:bCs/>
                <w:color w:val="000000"/>
                <w:sz w:val="23"/>
                <w:szCs w:val="23"/>
              </w:rPr>
              <w:t>10,5</w:t>
            </w:r>
          </w:p>
        </w:tc>
        <w:tc>
          <w:tcPr>
            <w:tcW w:w="2360" w:type="dxa"/>
            <w:tcBorders>
              <w:top w:val="none" w:sz="4" w:space="0" w:color="000000"/>
              <w:left w:val="none" w:sz="4" w:space="0" w:color="000000"/>
              <w:bottom w:val="single" w:sz="4" w:space="0" w:color="auto"/>
              <w:right w:val="single" w:sz="8" w:space="0" w:color="auto"/>
            </w:tcBorders>
            <w:shd w:val="clear" w:color="auto" w:fill="auto"/>
            <w:vAlign w:val="center"/>
          </w:tcPr>
          <w:p w:rsidR="00DC1467" w:rsidRDefault="00B70D3E">
            <w:pPr>
              <w:spacing w:line="240" w:lineRule="auto"/>
              <w:ind w:firstLine="0"/>
              <w:jc w:val="center"/>
              <w:rPr>
                <w:b/>
                <w:bCs/>
                <w:color w:val="000000"/>
                <w:sz w:val="23"/>
                <w:szCs w:val="23"/>
              </w:rPr>
            </w:pPr>
            <w:r>
              <w:rPr>
                <w:b/>
                <w:bCs/>
                <w:color w:val="000000"/>
                <w:sz w:val="23"/>
                <w:szCs w:val="23"/>
              </w:rPr>
              <w:t>0,0</w:t>
            </w:r>
          </w:p>
        </w:tc>
      </w:tr>
      <w:tr w:rsidR="00DC1467">
        <w:trPr>
          <w:trHeight w:val="227"/>
        </w:trPr>
        <w:tc>
          <w:tcPr>
            <w:tcW w:w="4540" w:type="dxa"/>
            <w:tcBorders>
              <w:top w:val="none" w:sz="4" w:space="0" w:color="000000"/>
              <w:left w:val="single" w:sz="4" w:space="0" w:color="auto"/>
              <w:bottom w:val="single" w:sz="4" w:space="0" w:color="auto"/>
              <w:right w:val="none" w:sz="4" w:space="0" w:color="000000"/>
            </w:tcBorders>
            <w:shd w:val="clear" w:color="auto" w:fill="auto"/>
            <w:vAlign w:val="center"/>
          </w:tcPr>
          <w:p w:rsidR="00DC1467" w:rsidRDefault="00B70D3E">
            <w:pPr>
              <w:spacing w:line="240" w:lineRule="auto"/>
              <w:ind w:firstLine="0"/>
              <w:jc w:val="left"/>
              <w:rPr>
                <w:color w:val="000000"/>
                <w:sz w:val="23"/>
                <w:szCs w:val="23"/>
              </w:rPr>
            </w:pPr>
            <w:r>
              <w:rPr>
                <w:color w:val="000000"/>
                <w:sz w:val="23"/>
                <w:szCs w:val="23"/>
              </w:rPr>
              <w:t>Октябрьский район</w:t>
            </w:r>
          </w:p>
        </w:tc>
        <w:tc>
          <w:tcPr>
            <w:tcW w:w="1840" w:type="dxa"/>
            <w:tcBorders>
              <w:top w:val="single" w:sz="4" w:space="0" w:color="auto"/>
              <w:left w:val="single" w:sz="8"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b/>
                <w:bCs/>
                <w:color w:val="000000"/>
                <w:sz w:val="23"/>
                <w:szCs w:val="23"/>
              </w:rPr>
            </w:pPr>
            <w:r>
              <w:rPr>
                <w:b/>
                <w:bCs/>
                <w:color w:val="000000"/>
                <w:sz w:val="23"/>
                <w:szCs w:val="23"/>
              </w:rPr>
              <w:t>5,8</w:t>
            </w:r>
          </w:p>
        </w:tc>
        <w:tc>
          <w:tcPr>
            <w:tcW w:w="1840"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b/>
                <w:bCs/>
                <w:color w:val="000000"/>
                <w:sz w:val="23"/>
                <w:szCs w:val="23"/>
              </w:rPr>
            </w:pPr>
            <w:r>
              <w:rPr>
                <w:b/>
                <w:bCs/>
                <w:color w:val="000000"/>
                <w:sz w:val="23"/>
                <w:szCs w:val="23"/>
              </w:rPr>
              <w:t>13,8</w:t>
            </w:r>
          </w:p>
        </w:tc>
        <w:tc>
          <w:tcPr>
            <w:tcW w:w="1840" w:type="dxa"/>
            <w:tcBorders>
              <w:top w:val="single" w:sz="4" w:space="0" w:color="auto"/>
              <w:left w:val="single" w:sz="4" w:space="0" w:color="auto"/>
              <w:bottom w:val="single" w:sz="4" w:space="0" w:color="auto"/>
              <w:right w:val="single" w:sz="8" w:space="0" w:color="auto"/>
            </w:tcBorders>
            <w:shd w:val="clear" w:color="000000" w:fill="AFDD7D"/>
            <w:vAlign w:val="center"/>
          </w:tcPr>
          <w:p w:rsidR="00DC1467" w:rsidRDefault="00B70D3E">
            <w:pPr>
              <w:spacing w:line="240" w:lineRule="auto"/>
              <w:ind w:firstLine="0"/>
              <w:jc w:val="center"/>
              <w:rPr>
                <w:b/>
                <w:bCs/>
                <w:color w:val="000000"/>
                <w:sz w:val="23"/>
                <w:szCs w:val="23"/>
              </w:rPr>
            </w:pPr>
            <w:r>
              <w:rPr>
                <w:b/>
                <w:bCs/>
                <w:color w:val="000000"/>
                <w:sz w:val="23"/>
                <w:szCs w:val="23"/>
              </w:rPr>
              <w:t>3,1</w:t>
            </w:r>
          </w:p>
        </w:tc>
        <w:tc>
          <w:tcPr>
            <w:tcW w:w="2360" w:type="dxa"/>
            <w:tcBorders>
              <w:top w:val="none" w:sz="4" w:space="0" w:color="000000"/>
              <w:left w:val="none" w:sz="4" w:space="0" w:color="000000"/>
              <w:bottom w:val="single" w:sz="4" w:space="0" w:color="auto"/>
              <w:right w:val="single" w:sz="4" w:space="0" w:color="auto"/>
            </w:tcBorders>
            <w:shd w:val="clear" w:color="auto" w:fill="auto"/>
            <w:vAlign w:val="center"/>
          </w:tcPr>
          <w:p w:rsidR="00DC1467" w:rsidRDefault="00B70D3E">
            <w:pPr>
              <w:spacing w:line="240" w:lineRule="auto"/>
              <w:ind w:firstLine="0"/>
              <w:jc w:val="center"/>
              <w:rPr>
                <w:b/>
                <w:bCs/>
                <w:color w:val="000000"/>
                <w:sz w:val="23"/>
                <w:szCs w:val="23"/>
              </w:rPr>
            </w:pPr>
            <w:r>
              <w:rPr>
                <w:b/>
                <w:bCs/>
                <w:color w:val="000000"/>
                <w:sz w:val="23"/>
                <w:szCs w:val="23"/>
              </w:rPr>
              <w:t>-10,7</w:t>
            </w:r>
          </w:p>
        </w:tc>
        <w:tc>
          <w:tcPr>
            <w:tcW w:w="2360" w:type="dxa"/>
            <w:tcBorders>
              <w:top w:val="none" w:sz="4" w:space="0" w:color="000000"/>
              <w:left w:val="none" w:sz="4" w:space="0" w:color="000000"/>
              <w:bottom w:val="single" w:sz="4" w:space="0" w:color="auto"/>
              <w:right w:val="single" w:sz="8" w:space="0" w:color="auto"/>
            </w:tcBorders>
            <w:shd w:val="clear" w:color="auto" w:fill="auto"/>
            <w:vAlign w:val="center"/>
          </w:tcPr>
          <w:p w:rsidR="00DC1467" w:rsidRDefault="00B70D3E">
            <w:pPr>
              <w:spacing w:line="240" w:lineRule="auto"/>
              <w:ind w:firstLine="0"/>
              <w:jc w:val="center"/>
              <w:rPr>
                <w:b/>
                <w:bCs/>
                <w:color w:val="000000"/>
                <w:sz w:val="23"/>
                <w:szCs w:val="23"/>
              </w:rPr>
            </w:pPr>
            <w:r>
              <w:rPr>
                <w:b/>
                <w:bCs/>
                <w:color w:val="000000"/>
                <w:sz w:val="23"/>
                <w:szCs w:val="23"/>
              </w:rPr>
              <w:t>-2,7</w:t>
            </w:r>
          </w:p>
        </w:tc>
      </w:tr>
      <w:tr w:rsidR="00DC1467">
        <w:trPr>
          <w:trHeight w:val="227"/>
        </w:trPr>
        <w:tc>
          <w:tcPr>
            <w:tcW w:w="4540" w:type="dxa"/>
            <w:tcBorders>
              <w:top w:val="none" w:sz="4" w:space="0" w:color="000000"/>
              <w:left w:val="single" w:sz="4" w:space="0" w:color="auto"/>
              <w:bottom w:val="single" w:sz="4" w:space="0" w:color="auto"/>
              <w:right w:val="none" w:sz="4" w:space="0" w:color="000000"/>
            </w:tcBorders>
            <w:shd w:val="clear" w:color="auto" w:fill="auto"/>
            <w:vAlign w:val="center"/>
          </w:tcPr>
          <w:p w:rsidR="00DC1467" w:rsidRDefault="00B70D3E">
            <w:pPr>
              <w:spacing w:line="240" w:lineRule="auto"/>
              <w:ind w:firstLine="0"/>
              <w:jc w:val="left"/>
              <w:rPr>
                <w:color w:val="000000"/>
                <w:sz w:val="23"/>
                <w:szCs w:val="23"/>
              </w:rPr>
            </w:pPr>
            <w:r>
              <w:rPr>
                <w:color w:val="000000"/>
                <w:sz w:val="23"/>
                <w:szCs w:val="23"/>
              </w:rPr>
              <w:t>Советский район</w:t>
            </w:r>
          </w:p>
        </w:tc>
        <w:tc>
          <w:tcPr>
            <w:tcW w:w="1840" w:type="dxa"/>
            <w:tcBorders>
              <w:top w:val="single" w:sz="4" w:space="0" w:color="auto"/>
              <w:left w:val="single" w:sz="8"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b/>
                <w:bCs/>
                <w:color w:val="000000"/>
                <w:sz w:val="23"/>
                <w:szCs w:val="23"/>
              </w:rPr>
            </w:pPr>
            <w:r>
              <w:rPr>
                <w:b/>
                <w:bCs/>
                <w:color w:val="000000"/>
                <w:sz w:val="23"/>
                <w:szCs w:val="23"/>
              </w:rPr>
              <w:t>16,5</w:t>
            </w:r>
          </w:p>
        </w:tc>
        <w:tc>
          <w:tcPr>
            <w:tcW w:w="1840" w:type="dxa"/>
            <w:tcBorders>
              <w:top w:val="single" w:sz="4" w:space="0" w:color="auto"/>
              <w:left w:val="single" w:sz="4" w:space="0" w:color="auto"/>
              <w:bottom w:val="single" w:sz="4" w:space="0" w:color="auto"/>
              <w:right w:val="single" w:sz="4" w:space="0" w:color="auto"/>
            </w:tcBorders>
            <w:shd w:val="clear" w:color="000000" w:fill="AFDD7D"/>
            <w:vAlign w:val="center"/>
          </w:tcPr>
          <w:p w:rsidR="00DC1467" w:rsidRDefault="00B70D3E">
            <w:pPr>
              <w:spacing w:line="240" w:lineRule="auto"/>
              <w:ind w:firstLine="0"/>
              <w:jc w:val="center"/>
              <w:rPr>
                <w:b/>
                <w:bCs/>
                <w:color w:val="000000"/>
                <w:sz w:val="23"/>
                <w:szCs w:val="23"/>
              </w:rPr>
            </w:pPr>
            <w:r>
              <w:rPr>
                <w:b/>
                <w:bCs/>
                <w:color w:val="000000"/>
                <w:sz w:val="23"/>
                <w:szCs w:val="23"/>
              </w:rPr>
              <w:t>15,9</w:t>
            </w:r>
          </w:p>
        </w:tc>
        <w:tc>
          <w:tcPr>
            <w:tcW w:w="1840" w:type="dxa"/>
            <w:tcBorders>
              <w:top w:val="single" w:sz="4" w:space="0" w:color="auto"/>
              <w:left w:val="single" w:sz="4" w:space="0" w:color="auto"/>
              <w:bottom w:val="single" w:sz="4" w:space="0" w:color="auto"/>
              <w:right w:val="single" w:sz="8" w:space="0" w:color="auto"/>
            </w:tcBorders>
            <w:shd w:val="clear" w:color="000000" w:fill="AFDD7D"/>
            <w:vAlign w:val="center"/>
          </w:tcPr>
          <w:p w:rsidR="00DC1467" w:rsidRDefault="00B70D3E">
            <w:pPr>
              <w:spacing w:line="240" w:lineRule="auto"/>
              <w:ind w:firstLine="0"/>
              <w:jc w:val="center"/>
              <w:rPr>
                <w:b/>
                <w:bCs/>
                <w:color w:val="000000"/>
                <w:sz w:val="23"/>
                <w:szCs w:val="23"/>
              </w:rPr>
            </w:pPr>
            <w:r>
              <w:rPr>
                <w:b/>
                <w:bCs/>
                <w:color w:val="000000"/>
                <w:sz w:val="23"/>
                <w:szCs w:val="23"/>
              </w:rPr>
              <w:t>11,3</w:t>
            </w:r>
          </w:p>
        </w:tc>
        <w:tc>
          <w:tcPr>
            <w:tcW w:w="2360" w:type="dxa"/>
            <w:tcBorders>
              <w:top w:val="none" w:sz="4" w:space="0" w:color="000000"/>
              <w:left w:val="none" w:sz="4" w:space="0" w:color="000000"/>
              <w:bottom w:val="single" w:sz="4" w:space="0" w:color="auto"/>
              <w:right w:val="single" w:sz="4" w:space="0" w:color="auto"/>
            </w:tcBorders>
            <w:shd w:val="clear" w:color="auto" w:fill="auto"/>
            <w:vAlign w:val="center"/>
          </w:tcPr>
          <w:p w:rsidR="00DC1467" w:rsidRDefault="00B70D3E">
            <w:pPr>
              <w:spacing w:line="240" w:lineRule="auto"/>
              <w:ind w:firstLine="0"/>
              <w:jc w:val="center"/>
              <w:rPr>
                <w:b/>
                <w:bCs/>
                <w:color w:val="000000"/>
                <w:sz w:val="23"/>
                <w:szCs w:val="23"/>
              </w:rPr>
            </w:pPr>
            <w:r>
              <w:rPr>
                <w:b/>
                <w:bCs/>
                <w:color w:val="000000"/>
                <w:sz w:val="23"/>
                <w:szCs w:val="23"/>
              </w:rPr>
              <w:t>-4,5</w:t>
            </w:r>
          </w:p>
        </w:tc>
        <w:tc>
          <w:tcPr>
            <w:tcW w:w="2360" w:type="dxa"/>
            <w:tcBorders>
              <w:top w:val="none" w:sz="4" w:space="0" w:color="000000"/>
              <w:left w:val="none" w:sz="4" w:space="0" w:color="000000"/>
              <w:bottom w:val="single" w:sz="4" w:space="0" w:color="auto"/>
              <w:right w:val="single" w:sz="8" w:space="0" w:color="auto"/>
            </w:tcBorders>
            <w:shd w:val="clear" w:color="auto" w:fill="auto"/>
            <w:vAlign w:val="center"/>
          </w:tcPr>
          <w:p w:rsidR="00DC1467" w:rsidRDefault="00B70D3E">
            <w:pPr>
              <w:spacing w:line="240" w:lineRule="auto"/>
              <w:ind w:firstLine="0"/>
              <w:jc w:val="center"/>
              <w:rPr>
                <w:b/>
                <w:bCs/>
                <w:color w:val="000000"/>
                <w:sz w:val="23"/>
                <w:szCs w:val="23"/>
              </w:rPr>
            </w:pPr>
            <w:r>
              <w:rPr>
                <w:b/>
                <w:bCs/>
                <w:color w:val="000000"/>
                <w:sz w:val="23"/>
                <w:szCs w:val="23"/>
              </w:rPr>
              <w:t>-5,2</w:t>
            </w:r>
          </w:p>
        </w:tc>
      </w:tr>
      <w:tr w:rsidR="00DC1467">
        <w:trPr>
          <w:trHeight w:val="227"/>
        </w:trPr>
        <w:tc>
          <w:tcPr>
            <w:tcW w:w="4540" w:type="dxa"/>
            <w:tcBorders>
              <w:top w:val="none" w:sz="4" w:space="0" w:color="000000"/>
              <w:left w:val="single" w:sz="4" w:space="0" w:color="auto"/>
              <w:bottom w:val="single" w:sz="4" w:space="0" w:color="auto"/>
              <w:right w:val="none" w:sz="4" w:space="0" w:color="000000"/>
            </w:tcBorders>
            <w:shd w:val="clear" w:color="auto" w:fill="auto"/>
            <w:vAlign w:val="center"/>
          </w:tcPr>
          <w:p w:rsidR="00DC1467" w:rsidRDefault="00B70D3E">
            <w:pPr>
              <w:spacing w:line="240" w:lineRule="auto"/>
              <w:ind w:firstLine="0"/>
              <w:jc w:val="left"/>
              <w:rPr>
                <w:color w:val="000000"/>
                <w:sz w:val="23"/>
                <w:szCs w:val="23"/>
              </w:rPr>
            </w:pPr>
            <w:r>
              <w:rPr>
                <w:color w:val="000000"/>
                <w:sz w:val="23"/>
                <w:szCs w:val="23"/>
              </w:rPr>
              <w:t>Сургутский район</w:t>
            </w:r>
          </w:p>
        </w:tc>
        <w:tc>
          <w:tcPr>
            <w:tcW w:w="1840" w:type="dxa"/>
            <w:tcBorders>
              <w:top w:val="single" w:sz="4" w:space="0" w:color="auto"/>
              <w:left w:val="single" w:sz="8" w:space="0" w:color="auto"/>
              <w:bottom w:val="single" w:sz="4" w:space="0" w:color="auto"/>
              <w:right w:val="single" w:sz="4" w:space="0" w:color="auto"/>
            </w:tcBorders>
            <w:shd w:val="clear" w:color="000000" w:fill="FFFF52"/>
            <w:vAlign w:val="center"/>
          </w:tcPr>
          <w:p w:rsidR="00DC1467" w:rsidRDefault="00B70D3E">
            <w:pPr>
              <w:spacing w:line="240" w:lineRule="auto"/>
              <w:ind w:firstLine="0"/>
              <w:jc w:val="center"/>
              <w:rPr>
                <w:b/>
                <w:bCs/>
                <w:color w:val="000000"/>
                <w:sz w:val="23"/>
                <w:szCs w:val="23"/>
              </w:rPr>
            </w:pPr>
            <w:r>
              <w:rPr>
                <w:b/>
                <w:bCs/>
                <w:color w:val="000000"/>
                <w:sz w:val="23"/>
                <w:szCs w:val="23"/>
              </w:rPr>
              <w:t>44,0</w:t>
            </w:r>
          </w:p>
        </w:tc>
        <w:tc>
          <w:tcPr>
            <w:tcW w:w="1840" w:type="dxa"/>
            <w:tcBorders>
              <w:top w:val="single" w:sz="4" w:space="0" w:color="auto"/>
              <w:left w:val="single" w:sz="4" w:space="0" w:color="auto"/>
              <w:bottom w:val="single" w:sz="4" w:space="0" w:color="auto"/>
              <w:right w:val="single" w:sz="4" w:space="0" w:color="auto"/>
            </w:tcBorders>
            <w:shd w:val="clear" w:color="000000" w:fill="FFFF52"/>
            <w:vAlign w:val="center"/>
          </w:tcPr>
          <w:p w:rsidR="00DC1467" w:rsidRDefault="00B70D3E">
            <w:pPr>
              <w:spacing w:line="240" w:lineRule="auto"/>
              <w:ind w:firstLine="0"/>
              <w:jc w:val="center"/>
              <w:rPr>
                <w:b/>
                <w:bCs/>
                <w:color w:val="000000"/>
                <w:sz w:val="23"/>
                <w:szCs w:val="23"/>
              </w:rPr>
            </w:pPr>
            <w:r>
              <w:rPr>
                <w:b/>
                <w:bCs/>
                <w:color w:val="000000"/>
                <w:sz w:val="23"/>
                <w:szCs w:val="23"/>
              </w:rPr>
              <w:t>26,4</w:t>
            </w:r>
          </w:p>
        </w:tc>
        <w:tc>
          <w:tcPr>
            <w:tcW w:w="1840" w:type="dxa"/>
            <w:tcBorders>
              <w:top w:val="single" w:sz="4" w:space="0" w:color="auto"/>
              <w:left w:val="single" w:sz="4" w:space="0" w:color="auto"/>
              <w:bottom w:val="single" w:sz="4" w:space="0" w:color="auto"/>
              <w:right w:val="single" w:sz="8" w:space="0" w:color="auto"/>
            </w:tcBorders>
            <w:shd w:val="clear" w:color="000000" w:fill="FFFF52"/>
            <w:vAlign w:val="center"/>
          </w:tcPr>
          <w:p w:rsidR="00DC1467" w:rsidRDefault="00B70D3E">
            <w:pPr>
              <w:spacing w:line="240" w:lineRule="auto"/>
              <w:ind w:firstLine="0"/>
              <w:jc w:val="center"/>
              <w:rPr>
                <w:b/>
                <w:bCs/>
                <w:color w:val="000000"/>
                <w:sz w:val="23"/>
                <w:szCs w:val="23"/>
              </w:rPr>
            </w:pPr>
            <w:r>
              <w:rPr>
                <w:b/>
                <w:bCs/>
                <w:color w:val="000000"/>
                <w:sz w:val="23"/>
                <w:szCs w:val="23"/>
              </w:rPr>
              <w:t>30,0</w:t>
            </w:r>
          </w:p>
        </w:tc>
        <w:tc>
          <w:tcPr>
            <w:tcW w:w="2360" w:type="dxa"/>
            <w:tcBorders>
              <w:top w:val="none" w:sz="4" w:space="0" w:color="000000"/>
              <w:left w:val="none" w:sz="4" w:space="0" w:color="000000"/>
              <w:bottom w:val="single" w:sz="4" w:space="0" w:color="auto"/>
              <w:right w:val="single" w:sz="4" w:space="0" w:color="auto"/>
            </w:tcBorders>
            <w:shd w:val="clear" w:color="auto" w:fill="auto"/>
            <w:vAlign w:val="center"/>
          </w:tcPr>
          <w:p w:rsidR="00DC1467" w:rsidRDefault="00B70D3E">
            <w:pPr>
              <w:spacing w:line="240" w:lineRule="auto"/>
              <w:ind w:firstLine="0"/>
              <w:jc w:val="center"/>
              <w:rPr>
                <w:b/>
                <w:bCs/>
                <w:color w:val="000000"/>
                <w:sz w:val="23"/>
                <w:szCs w:val="23"/>
              </w:rPr>
            </w:pPr>
            <w:r>
              <w:rPr>
                <w:b/>
                <w:bCs/>
                <w:color w:val="000000"/>
                <w:sz w:val="23"/>
                <w:szCs w:val="23"/>
              </w:rPr>
              <w:t>3,7</w:t>
            </w:r>
          </w:p>
        </w:tc>
        <w:tc>
          <w:tcPr>
            <w:tcW w:w="2360" w:type="dxa"/>
            <w:tcBorders>
              <w:top w:val="none" w:sz="4" w:space="0" w:color="000000"/>
              <w:left w:val="none" w:sz="4" w:space="0" w:color="000000"/>
              <w:bottom w:val="single" w:sz="4" w:space="0" w:color="auto"/>
              <w:right w:val="single" w:sz="8" w:space="0" w:color="auto"/>
            </w:tcBorders>
            <w:shd w:val="clear" w:color="auto" w:fill="auto"/>
            <w:vAlign w:val="center"/>
          </w:tcPr>
          <w:p w:rsidR="00DC1467" w:rsidRDefault="00B70D3E">
            <w:pPr>
              <w:spacing w:line="240" w:lineRule="auto"/>
              <w:ind w:firstLine="0"/>
              <w:jc w:val="center"/>
              <w:rPr>
                <w:b/>
                <w:bCs/>
                <w:color w:val="000000"/>
                <w:sz w:val="23"/>
                <w:szCs w:val="23"/>
              </w:rPr>
            </w:pPr>
            <w:r>
              <w:rPr>
                <w:b/>
                <w:bCs/>
                <w:color w:val="000000"/>
                <w:sz w:val="23"/>
                <w:szCs w:val="23"/>
              </w:rPr>
              <w:t>-14,0</w:t>
            </w:r>
          </w:p>
        </w:tc>
      </w:tr>
      <w:tr w:rsidR="00DC1467">
        <w:trPr>
          <w:trHeight w:val="227"/>
        </w:trPr>
        <w:tc>
          <w:tcPr>
            <w:tcW w:w="4540" w:type="dxa"/>
            <w:tcBorders>
              <w:top w:val="none" w:sz="4" w:space="0" w:color="000000"/>
              <w:left w:val="single" w:sz="4" w:space="0" w:color="auto"/>
              <w:bottom w:val="single" w:sz="4" w:space="0" w:color="auto"/>
              <w:right w:val="none" w:sz="4" w:space="0" w:color="000000"/>
            </w:tcBorders>
            <w:shd w:val="clear" w:color="auto" w:fill="auto"/>
            <w:vAlign w:val="center"/>
          </w:tcPr>
          <w:p w:rsidR="00DC1467" w:rsidRDefault="00B70D3E">
            <w:pPr>
              <w:spacing w:line="240" w:lineRule="auto"/>
              <w:ind w:firstLine="0"/>
              <w:jc w:val="left"/>
              <w:rPr>
                <w:color w:val="000000"/>
                <w:sz w:val="23"/>
                <w:szCs w:val="23"/>
              </w:rPr>
            </w:pPr>
            <w:r>
              <w:rPr>
                <w:color w:val="000000"/>
                <w:sz w:val="23"/>
                <w:szCs w:val="23"/>
              </w:rPr>
              <w:t>Ханты-Мансийский район</w:t>
            </w:r>
          </w:p>
        </w:tc>
        <w:tc>
          <w:tcPr>
            <w:tcW w:w="1840" w:type="dxa"/>
            <w:tcBorders>
              <w:top w:val="single" w:sz="4" w:space="0" w:color="auto"/>
              <w:left w:val="single" w:sz="8" w:space="0" w:color="auto"/>
              <w:bottom w:val="single" w:sz="8" w:space="0" w:color="auto"/>
              <w:right w:val="single" w:sz="4" w:space="0" w:color="auto"/>
            </w:tcBorders>
            <w:shd w:val="clear" w:color="000000" w:fill="AFDD7D"/>
            <w:vAlign w:val="center"/>
          </w:tcPr>
          <w:p w:rsidR="00DC1467" w:rsidRDefault="00B70D3E">
            <w:pPr>
              <w:spacing w:line="240" w:lineRule="auto"/>
              <w:ind w:firstLine="0"/>
              <w:jc w:val="center"/>
              <w:rPr>
                <w:b/>
                <w:bCs/>
                <w:color w:val="000000"/>
                <w:sz w:val="23"/>
                <w:szCs w:val="23"/>
              </w:rPr>
            </w:pPr>
            <w:r>
              <w:rPr>
                <w:b/>
                <w:bCs/>
                <w:color w:val="000000"/>
                <w:sz w:val="23"/>
                <w:szCs w:val="23"/>
              </w:rPr>
              <w:t>15,7</w:t>
            </w:r>
          </w:p>
        </w:tc>
        <w:tc>
          <w:tcPr>
            <w:tcW w:w="1840" w:type="dxa"/>
            <w:tcBorders>
              <w:top w:val="single" w:sz="4" w:space="0" w:color="auto"/>
              <w:left w:val="single" w:sz="4" w:space="0" w:color="auto"/>
              <w:bottom w:val="single" w:sz="8" w:space="0" w:color="auto"/>
              <w:right w:val="single" w:sz="4" w:space="0" w:color="auto"/>
            </w:tcBorders>
            <w:shd w:val="clear" w:color="000000" w:fill="AFDD7D"/>
            <w:vAlign w:val="center"/>
          </w:tcPr>
          <w:p w:rsidR="00DC1467" w:rsidRDefault="00B70D3E">
            <w:pPr>
              <w:spacing w:line="240" w:lineRule="auto"/>
              <w:ind w:firstLine="0"/>
              <w:jc w:val="center"/>
              <w:rPr>
                <w:b/>
                <w:bCs/>
                <w:color w:val="000000"/>
                <w:sz w:val="23"/>
                <w:szCs w:val="23"/>
              </w:rPr>
            </w:pPr>
            <w:r>
              <w:rPr>
                <w:b/>
                <w:bCs/>
                <w:color w:val="000000"/>
                <w:sz w:val="23"/>
                <w:szCs w:val="23"/>
              </w:rPr>
              <w:t>4,3</w:t>
            </w:r>
          </w:p>
        </w:tc>
        <w:tc>
          <w:tcPr>
            <w:tcW w:w="1840" w:type="dxa"/>
            <w:tcBorders>
              <w:top w:val="single" w:sz="4" w:space="0" w:color="auto"/>
              <w:left w:val="single" w:sz="4" w:space="0" w:color="auto"/>
              <w:bottom w:val="single" w:sz="8" w:space="0" w:color="auto"/>
              <w:right w:val="single" w:sz="8" w:space="0" w:color="auto"/>
            </w:tcBorders>
            <w:shd w:val="clear" w:color="000000" w:fill="AFDD7D"/>
            <w:vAlign w:val="center"/>
          </w:tcPr>
          <w:p w:rsidR="00DC1467" w:rsidRDefault="00B70D3E">
            <w:pPr>
              <w:spacing w:line="240" w:lineRule="auto"/>
              <w:ind w:firstLine="0"/>
              <w:jc w:val="center"/>
              <w:rPr>
                <w:b/>
                <w:bCs/>
                <w:color w:val="000000"/>
                <w:sz w:val="23"/>
                <w:szCs w:val="23"/>
              </w:rPr>
            </w:pPr>
            <w:r>
              <w:rPr>
                <w:b/>
                <w:bCs/>
                <w:color w:val="000000"/>
                <w:sz w:val="23"/>
                <w:szCs w:val="23"/>
              </w:rPr>
              <w:t>23,8</w:t>
            </w:r>
          </w:p>
        </w:tc>
        <w:tc>
          <w:tcPr>
            <w:tcW w:w="2360" w:type="dxa"/>
            <w:tcBorders>
              <w:top w:val="none" w:sz="4" w:space="0" w:color="000000"/>
              <w:left w:val="none" w:sz="4" w:space="0" w:color="000000"/>
              <w:bottom w:val="single" w:sz="8" w:space="0" w:color="auto"/>
              <w:right w:val="single" w:sz="4" w:space="0" w:color="auto"/>
            </w:tcBorders>
            <w:shd w:val="clear" w:color="auto" w:fill="auto"/>
            <w:vAlign w:val="center"/>
          </w:tcPr>
          <w:p w:rsidR="00DC1467" w:rsidRDefault="00B70D3E">
            <w:pPr>
              <w:spacing w:line="240" w:lineRule="auto"/>
              <w:ind w:firstLine="0"/>
              <w:jc w:val="center"/>
              <w:rPr>
                <w:b/>
                <w:bCs/>
                <w:color w:val="000000"/>
                <w:sz w:val="23"/>
                <w:szCs w:val="23"/>
              </w:rPr>
            </w:pPr>
            <w:r>
              <w:rPr>
                <w:b/>
                <w:bCs/>
                <w:color w:val="000000"/>
                <w:sz w:val="23"/>
                <w:szCs w:val="23"/>
              </w:rPr>
              <w:t>19,6</w:t>
            </w:r>
          </w:p>
        </w:tc>
        <w:tc>
          <w:tcPr>
            <w:tcW w:w="2360" w:type="dxa"/>
            <w:tcBorders>
              <w:top w:val="none" w:sz="4" w:space="0" w:color="000000"/>
              <w:left w:val="single" w:sz="4" w:space="0" w:color="auto"/>
              <w:bottom w:val="single" w:sz="8" w:space="0" w:color="auto"/>
              <w:right w:val="single" w:sz="8" w:space="0" w:color="auto"/>
            </w:tcBorders>
            <w:shd w:val="clear" w:color="auto" w:fill="auto"/>
            <w:vAlign w:val="center"/>
          </w:tcPr>
          <w:p w:rsidR="00DC1467" w:rsidRDefault="00B70D3E">
            <w:pPr>
              <w:spacing w:line="240" w:lineRule="auto"/>
              <w:ind w:firstLine="0"/>
              <w:jc w:val="center"/>
              <w:rPr>
                <w:b/>
                <w:bCs/>
                <w:color w:val="000000"/>
                <w:sz w:val="23"/>
                <w:szCs w:val="23"/>
              </w:rPr>
            </w:pPr>
            <w:r>
              <w:rPr>
                <w:b/>
                <w:bCs/>
                <w:color w:val="000000"/>
                <w:sz w:val="23"/>
                <w:szCs w:val="23"/>
              </w:rPr>
              <w:t>8,1</w:t>
            </w:r>
          </w:p>
        </w:tc>
      </w:tr>
    </w:tbl>
    <w:p w:rsidR="00DC1467" w:rsidRDefault="00DC1467">
      <w:pPr>
        <w:spacing w:line="276" w:lineRule="auto"/>
        <w:ind w:firstLine="709"/>
        <w:rPr>
          <w:highlight w:val="yellow"/>
        </w:rPr>
        <w:sectPr w:rsidR="00DC1467">
          <w:pgSz w:w="16838" w:h="11906" w:orient="landscape"/>
          <w:pgMar w:top="1701" w:right="1134" w:bottom="851" w:left="1134" w:header="709" w:footer="709" w:gutter="0"/>
          <w:cols w:space="708"/>
          <w:docGrid w:linePitch="360"/>
        </w:sectPr>
      </w:pPr>
    </w:p>
    <w:p w:rsidR="00DC1467" w:rsidRDefault="00B70D3E">
      <w:pPr>
        <w:spacing w:line="276" w:lineRule="auto"/>
        <w:ind w:firstLine="709"/>
      </w:pPr>
      <w:r>
        <w:t xml:space="preserve">Таким образом, значение предварительной итоговой оценки за 2024 год позволяет интерпретировать </w:t>
      </w:r>
      <w:r>
        <w:t xml:space="preserve">наркоситуацию в Ханты-Мансийском автономном округе – Югре как </w:t>
      </w:r>
      <w:r>
        <w:rPr>
          <w:b/>
          <w:bCs/>
          <w:i/>
          <w:iCs/>
        </w:rPr>
        <w:t>нейтральную</w:t>
      </w:r>
      <w:r>
        <w:t xml:space="preserve"> (25,0 балла из 100 возможных). В сравнении с 2022 годом ситуация улучшилась (-1,8 балла) и сохранилась на уровне прошлого анализируемого периода.</w:t>
      </w:r>
    </w:p>
    <w:p w:rsidR="00DC1467" w:rsidRDefault="00B70D3E">
      <w:pPr>
        <w:spacing w:line="276" w:lineRule="auto"/>
        <w:ind w:firstLine="709"/>
        <w:rPr>
          <w:color w:val="000000"/>
        </w:rPr>
      </w:pPr>
      <w:r>
        <w:rPr>
          <w:b/>
          <w:bCs/>
          <w:i/>
          <w:iCs/>
        </w:rPr>
        <w:t xml:space="preserve">Напряженная </w:t>
      </w:r>
      <w:r>
        <w:t>наркоситуация определила</w:t>
      </w:r>
      <w:r>
        <w:t xml:space="preserve">сь для таких муниципальных образований как города </w:t>
      </w:r>
      <w:r>
        <w:rPr>
          <w:color w:val="000000"/>
        </w:rPr>
        <w:t>Ханты-Мансийск, Когалым, Лангепас, Мегион, Нижневартовск, Сургут, Урай и Югорск, Кондинский, Нижневартовский и Сургутский районы.</w:t>
      </w:r>
    </w:p>
    <w:p w:rsidR="00DC1467" w:rsidRDefault="00B70D3E">
      <w:pPr>
        <w:spacing w:line="276" w:lineRule="auto"/>
        <w:ind w:firstLine="709"/>
        <w:rPr>
          <w:color w:val="000000"/>
        </w:rPr>
      </w:pPr>
      <w:r>
        <w:rPr>
          <w:b/>
          <w:bCs/>
          <w:i/>
          <w:iCs/>
        </w:rPr>
        <w:t>Нейтральная</w:t>
      </w:r>
      <w:r>
        <w:t xml:space="preserve"> характеристика наркоситуации</w:t>
      </w:r>
      <w:r>
        <w:t xml:space="preserve"> в 2024 году зафиксирована в таких муниципальных образованиях как города </w:t>
      </w:r>
      <w:r>
        <w:rPr>
          <w:color w:val="000000"/>
        </w:rPr>
        <w:t>Нефтеюганск, Нягань, Покачи, Пыть-Ях и Радужный, Белоярский, Березовский, Нефтеюганский, Октябрьский, Советский и Ханты-Мансийский районы.</w:t>
      </w:r>
    </w:p>
    <w:p w:rsidR="00DC1467" w:rsidRDefault="00B70D3E">
      <w:pPr>
        <w:spacing w:line="276" w:lineRule="auto"/>
        <w:ind w:firstLine="709"/>
        <w:rPr>
          <w:color w:val="000000"/>
        </w:rPr>
      </w:pPr>
      <w:r>
        <w:t>В сравнении с 2022-2023 годами устойчивая по</w:t>
      </w:r>
      <w:r>
        <w:t xml:space="preserve">ложительная динамика значений предварительной итоговой оценки в 2024 году зафиксирована в городах </w:t>
      </w:r>
      <w:r>
        <w:rPr>
          <w:color w:val="000000"/>
        </w:rPr>
        <w:t>Ханты-Мансийск, Лангепас, Нефтеюганск, Пыть-Ях и Сургут, в Белоярском, Нефтеюганском, Октябрьском и Советском районах; ухудшение оценки – в городах Мегион, Ни</w:t>
      </w:r>
      <w:r>
        <w:rPr>
          <w:color w:val="000000"/>
        </w:rPr>
        <w:t>жневартовск, Покачи и Югорск, в Березовском, Кондинском и Ханты-Мансийском районах. В Нижневартовском районе предварительная оценка за 2024 год к значению 2022 года осталась неизменной.</w:t>
      </w:r>
    </w:p>
    <w:p w:rsidR="00DC1467" w:rsidRDefault="00DC1467">
      <w:pPr>
        <w:spacing w:line="276" w:lineRule="auto"/>
        <w:ind w:firstLine="709"/>
      </w:pPr>
    </w:p>
    <w:p w:rsidR="00DC1467" w:rsidRDefault="00DC1467">
      <w:pPr>
        <w:spacing w:line="276" w:lineRule="auto"/>
        <w:ind w:firstLine="709"/>
        <w:outlineLvl w:val="1"/>
        <w:sectPr w:rsidR="00DC1467">
          <w:pgSz w:w="11906" w:h="16838"/>
          <w:pgMar w:top="1134" w:right="851" w:bottom="1134" w:left="1701" w:header="709" w:footer="709" w:gutter="0"/>
          <w:cols w:space="708"/>
          <w:docGrid w:linePitch="360"/>
        </w:sectPr>
      </w:pPr>
    </w:p>
    <w:p w:rsidR="00DC1467" w:rsidRDefault="00B70D3E">
      <w:pPr>
        <w:spacing w:line="276" w:lineRule="auto"/>
        <w:ind w:firstLine="709"/>
        <w:outlineLvl w:val="1"/>
        <w:rPr>
          <w:b/>
        </w:rPr>
      </w:pPr>
      <w:r>
        <w:rPr>
          <w:b/>
        </w:rPr>
        <w:t>9. Краткосрочное (1 год) прогнозирование развития нар</w:t>
      </w:r>
      <w:r>
        <w:rPr>
          <w:b/>
        </w:rPr>
        <w:t>коситуации</w:t>
      </w:r>
    </w:p>
    <w:p w:rsidR="00DC1467" w:rsidRDefault="00DC1467">
      <w:pPr>
        <w:spacing w:line="276" w:lineRule="auto"/>
        <w:ind w:firstLine="709"/>
      </w:pPr>
    </w:p>
    <w:p w:rsidR="00DC1467" w:rsidRDefault="00B70D3E">
      <w:pPr>
        <w:pStyle w:val="aff5"/>
        <w:spacing w:line="276" w:lineRule="auto"/>
        <w:ind w:firstLine="851"/>
        <w:jc w:val="both"/>
        <w:rPr>
          <w:rFonts w:ascii="Times New Roman" w:hAnsi="Times New Roman"/>
          <w:sz w:val="28"/>
          <w:szCs w:val="28"/>
        </w:rPr>
      </w:pPr>
      <w:r>
        <w:rPr>
          <w:rFonts w:ascii="Times New Roman" w:hAnsi="Times New Roman"/>
          <w:sz w:val="28"/>
          <w:szCs w:val="28"/>
        </w:rPr>
        <w:t xml:space="preserve">Проведенный анализ оперативной обстановки на территории </w:t>
      </w:r>
      <w:r>
        <w:rPr>
          <w:rFonts w:ascii="Times New Roman" w:hAnsi="Times New Roman"/>
          <w:sz w:val="28"/>
          <w:szCs w:val="28"/>
        </w:rPr>
        <w:br/>
        <w:t xml:space="preserve">Ханты-Мансийского автономного округа – Югры показал, что основными факторами, влияющими на развитие наркоситуации продолжат оставаться географическое положение, социально-экономическая и </w:t>
      </w:r>
      <w:r>
        <w:rPr>
          <w:rFonts w:ascii="Times New Roman" w:hAnsi="Times New Roman"/>
          <w:sz w:val="28"/>
          <w:szCs w:val="28"/>
        </w:rPr>
        <w:t>демографическая ситуация, развитая транспортная инфраструктура и миграционная ситуация.</w:t>
      </w:r>
    </w:p>
    <w:p w:rsidR="00DC1467" w:rsidRDefault="00B70D3E">
      <w:pPr>
        <w:pStyle w:val="aff5"/>
        <w:spacing w:line="276" w:lineRule="auto"/>
        <w:ind w:firstLine="851"/>
        <w:jc w:val="both"/>
        <w:rPr>
          <w:rFonts w:ascii="Times New Roman" w:hAnsi="Times New Roman"/>
          <w:sz w:val="28"/>
          <w:szCs w:val="28"/>
        </w:rPr>
      </w:pPr>
      <w:r>
        <w:rPr>
          <w:rFonts w:ascii="Times New Roman" w:hAnsi="Times New Roman"/>
          <w:sz w:val="28"/>
          <w:szCs w:val="28"/>
        </w:rPr>
        <w:t>В 2025 году на чёрном рынке Югры сохранится доминирование синтетических наркотиков, которые, как и прежде, будут распространяться бесконтактным способом.</w:t>
      </w:r>
    </w:p>
    <w:p w:rsidR="00DC1467" w:rsidRDefault="00B70D3E">
      <w:pPr>
        <w:pStyle w:val="aff5"/>
        <w:spacing w:line="276" w:lineRule="auto"/>
        <w:ind w:firstLine="851"/>
        <w:jc w:val="both"/>
        <w:rPr>
          <w:rFonts w:ascii="Times New Roman" w:hAnsi="Times New Roman"/>
          <w:sz w:val="28"/>
          <w:szCs w:val="28"/>
        </w:rPr>
      </w:pPr>
      <w:r>
        <w:rPr>
          <w:rFonts w:ascii="Times New Roman" w:hAnsi="Times New Roman"/>
          <w:sz w:val="28"/>
          <w:szCs w:val="28"/>
        </w:rPr>
        <w:t>Значительное в</w:t>
      </w:r>
      <w:r>
        <w:rPr>
          <w:rFonts w:ascii="Times New Roman" w:hAnsi="Times New Roman"/>
          <w:sz w:val="28"/>
          <w:szCs w:val="28"/>
        </w:rPr>
        <w:t>лияние на данный процесс сохранят преступные группы, в состав которых входят иностранные граждане, чаще Таджикистана, Киргизии, Узбекистана, Азербайджана. Основываясь на анализе оперативной обстановки, существенных изменений тактики незаконного сбыта нарко</w:t>
      </w:r>
      <w:r>
        <w:rPr>
          <w:rFonts w:ascii="Times New Roman" w:hAnsi="Times New Roman"/>
          <w:sz w:val="28"/>
          <w:szCs w:val="28"/>
        </w:rPr>
        <w:t>тиков, способов сокрытия и маршрутов поставок подконтрольных веществ в ближайшей перспективе не предвидится. Сохранится практика организации преступными формированиями каналов поступления в Югру наркотических средств и психотропных веществ различными видам</w:t>
      </w:r>
      <w:r>
        <w:rPr>
          <w:rFonts w:ascii="Times New Roman" w:hAnsi="Times New Roman"/>
          <w:sz w:val="28"/>
          <w:szCs w:val="28"/>
        </w:rPr>
        <w:t>и транспорта (преимущественно автотранспортом) из других регионов РФ, в том числе расположенных в пределах УрФО.</w:t>
      </w:r>
    </w:p>
    <w:p w:rsidR="00DC1467" w:rsidRDefault="00B70D3E">
      <w:pPr>
        <w:pStyle w:val="aff5"/>
        <w:spacing w:line="276" w:lineRule="auto"/>
        <w:ind w:firstLine="851"/>
        <w:jc w:val="both"/>
        <w:rPr>
          <w:rFonts w:ascii="Times New Roman" w:hAnsi="Times New Roman"/>
          <w:sz w:val="28"/>
          <w:szCs w:val="28"/>
        </w:rPr>
      </w:pPr>
      <w:r>
        <w:rPr>
          <w:rFonts w:ascii="Times New Roman" w:hAnsi="Times New Roman"/>
          <w:sz w:val="28"/>
          <w:szCs w:val="28"/>
        </w:rPr>
        <w:t>Принимая во внимание отсутствие на территории региона собственной сырьевой базы, а также неблагоприятные климатические условия (переувлажнение,</w:t>
      </w:r>
      <w:r>
        <w:rPr>
          <w:rFonts w:ascii="Times New Roman" w:hAnsi="Times New Roman"/>
          <w:sz w:val="28"/>
          <w:szCs w:val="28"/>
        </w:rPr>
        <w:t xml:space="preserve"> низкие температуры, недостаточная освещенность, длительные временные сроки весенне-летнего половодья и раннеосенние заморозки), факты незаконного культивирования наркосодержащих растений в условиях открытого грунта, в целях дальнейшего изготовления наркот</w:t>
      </w:r>
      <w:r>
        <w:rPr>
          <w:rFonts w:ascii="Times New Roman" w:hAnsi="Times New Roman"/>
          <w:sz w:val="28"/>
          <w:szCs w:val="28"/>
        </w:rPr>
        <w:t>иков, будут практически исключены. Сохранятся единичные факты культивирования наркосодержащих растений в искусственно созданных условиях (жилых помещениях, а также гаражах и теплицах).</w:t>
      </w:r>
    </w:p>
    <w:p w:rsidR="00DC1467" w:rsidRDefault="00B70D3E">
      <w:pPr>
        <w:pStyle w:val="aff5"/>
        <w:spacing w:line="276" w:lineRule="auto"/>
        <w:ind w:firstLine="851"/>
        <w:jc w:val="both"/>
        <w:rPr>
          <w:rFonts w:ascii="Times New Roman" w:hAnsi="Times New Roman"/>
          <w:sz w:val="28"/>
          <w:szCs w:val="28"/>
        </w:rPr>
      </w:pPr>
      <w:r>
        <w:rPr>
          <w:rFonts w:ascii="Times New Roman" w:hAnsi="Times New Roman"/>
          <w:sz w:val="28"/>
          <w:szCs w:val="28"/>
        </w:rPr>
        <w:t>Учитывая отсутствие на территории Югры свободного доступа к прекурсорам</w:t>
      </w:r>
      <w:r>
        <w:rPr>
          <w:rFonts w:ascii="Times New Roman" w:hAnsi="Times New Roman"/>
          <w:sz w:val="28"/>
          <w:szCs w:val="28"/>
        </w:rPr>
        <w:t>, химическим реактивам и специализированному химическому оборудованию, изготовление наркотиков синтетического ряда останется возможным только из материалов (реагенты, оборудование и т.д.) получаемых транспортными и почтовыми компаниями, при этом такие факт</w:t>
      </w:r>
      <w:r>
        <w:rPr>
          <w:rFonts w:ascii="Times New Roman" w:hAnsi="Times New Roman"/>
          <w:sz w:val="28"/>
          <w:szCs w:val="28"/>
        </w:rPr>
        <w:t>ы практически отсутствуют или носят единичный характер.</w:t>
      </w:r>
    </w:p>
    <w:p w:rsidR="00DC1467" w:rsidRDefault="00B70D3E">
      <w:pPr>
        <w:pStyle w:val="aff5"/>
        <w:spacing w:line="276" w:lineRule="auto"/>
        <w:ind w:firstLine="851"/>
        <w:jc w:val="both"/>
        <w:rPr>
          <w:rFonts w:ascii="Times New Roman" w:hAnsi="Times New Roman"/>
          <w:sz w:val="28"/>
          <w:szCs w:val="28"/>
        </w:rPr>
      </w:pPr>
      <w:r>
        <w:rPr>
          <w:rFonts w:ascii="Times New Roman" w:hAnsi="Times New Roman"/>
          <w:sz w:val="28"/>
          <w:szCs w:val="28"/>
        </w:rPr>
        <w:t>Со стороны преступных групп продолжится активная вербовка и вовлечение в незаконный сбыт наркотиков иностранных граждан, преимущественно выходцев из стран СНГ, а также жителей других регионов России.</w:t>
      </w:r>
    </w:p>
    <w:p w:rsidR="00DC1467" w:rsidRDefault="00B70D3E">
      <w:pPr>
        <w:pStyle w:val="aff5"/>
        <w:spacing w:line="276" w:lineRule="auto"/>
        <w:ind w:firstLine="851"/>
        <w:jc w:val="both"/>
        <w:rPr>
          <w:rFonts w:ascii="Times New Roman" w:hAnsi="Times New Roman"/>
          <w:sz w:val="28"/>
          <w:szCs w:val="28"/>
        </w:rPr>
      </w:pPr>
      <w:r>
        <w:rPr>
          <w:rFonts w:ascii="Times New Roman" w:hAnsi="Times New Roman"/>
          <w:sz w:val="28"/>
          <w:szCs w:val="28"/>
        </w:rPr>
        <w:t xml:space="preserve">В целях конспирации наркоторговцы продолжат оборудовать свои площадки по продаже наркотиков, в так называемой «теневой» части сети Интернет, сохраняя свою анонимность при помощи TOR-браузеров и VPN-соединений. </w:t>
      </w:r>
    </w:p>
    <w:p w:rsidR="00DC1467" w:rsidRDefault="00B70D3E">
      <w:pPr>
        <w:pStyle w:val="aff5"/>
        <w:spacing w:line="276" w:lineRule="auto"/>
        <w:ind w:firstLine="851"/>
        <w:jc w:val="both"/>
        <w:rPr>
          <w:rFonts w:ascii="Times New Roman" w:hAnsi="Times New Roman"/>
          <w:sz w:val="28"/>
          <w:szCs w:val="28"/>
        </w:rPr>
      </w:pPr>
      <w:r>
        <w:rPr>
          <w:rFonts w:ascii="Times New Roman" w:hAnsi="Times New Roman"/>
          <w:sz w:val="28"/>
          <w:szCs w:val="28"/>
        </w:rPr>
        <w:t>В настоящее время на территории округа зафикс</w:t>
      </w:r>
      <w:r>
        <w:rPr>
          <w:rFonts w:ascii="Times New Roman" w:hAnsi="Times New Roman"/>
          <w:sz w:val="28"/>
          <w:szCs w:val="28"/>
        </w:rPr>
        <w:t>ирована деятельность 4 основных теневых площадок, занимающихся продажей наркотиков («OMG! OMG!», «Mega», «Blacksprout», «Matanga») на которых располагаются так называемые магазины, осуществляющие непосредственную продажу наркотиков. Преобладающий способ оп</w:t>
      </w:r>
      <w:r>
        <w:rPr>
          <w:rFonts w:ascii="Times New Roman" w:hAnsi="Times New Roman"/>
          <w:sz w:val="28"/>
          <w:szCs w:val="28"/>
        </w:rPr>
        <w:t>латы – криптовалюта, которая вытесняет иные способы оплаты.</w:t>
      </w:r>
    </w:p>
    <w:p w:rsidR="00DC1467" w:rsidRDefault="00B70D3E">
      <w:pPr>
        <w:widowControl w:val="0"/>
        <w:tabs>
          <w:tab w:val="left" w:pos="9356"/>
          <w:tab w:val="left" w:pos="10065"/>
        </w:tabs>
        <w:spacing w:line="276" w:lineRule="auto"/>
        <w:ind w:firstLine="709"/>
      </w:pPr>
      <w:r>
        <w:t>В 2025 году сохранится риск вовлечения подростков в потребление лекарственных препаратов, обладающих специфическим действием на нервную систему. Распространение в молодежной среде употребления лек</w:t>
      </w:r>
      <w:r>
        <w:t xml:space="preserve">арственных препаратов, обладающих специфическим действие на нервную систему, а также прием препаратов, вызывающих токсическое опьянение вследствие приема в сверхтерапевтической дозировке, ведет к формированию лекарственной зависимости, которая учитывается </w:t>
      </w:r>
      <w:r>
        <w:t>в рамках полинаркомании, а также пагубного употребления ненаркотических психоактивных веществ.</w:t>
      </w:r>
    </w:p>
    <w:p w:rsidR="00DC1467" w:rsidRDefault="00B70D3E">
      <w:pPr>
        <w:widowControl w:val="0"/>
        <w:tabs>
          <w:tab w:val="left" w:pos="9356"/>
          <w:tab w:val="left" w:pos="10065"/>
        </w:tabs>
        <w:spacing w:line="276" w:lineRule="auto"/>
        <w:ind w:firstLine="709"/>
      </w:pPr>
      <w:r>
        <w:t>Наркозависимые, наблюдающиеся у врачей-психиатров-наркологов, по данным анамнеза ранее принимали препараты «Тропикамид» и «Лирика» преимущественно в сочетанном в</w:t>
      </w:r>
      <w:r>
        <w:t>арианте. «Заградительные» мероприятия, направленные на недопущение реализации несовершеннолетним, а также запрет на безрецептурный отпуск данных препаратов аптечной сетью, позволили сократить факты употребления лекарственных препаратов в 2024 году. Однако,</w:t>
      </w:r>
      <w:r>
        <w:t xml:space="preserve"> при условии сохранения возможности незаконной реализации лекарственных препаратов, оказывающих влияние на работу центральной нервной системы, метаболических препаратов, для лиц, кто находится в поиске новых форм достижения состояния опьянения, сохраняются</w:t>
      </w:r>
      <w:r>
        <w:t xml:space="preserve"> возможности для приобретения таких групп веществ. Кроме того, в последние годы происходит «искусственная» накачка медиапространства информацией о «возможности» приема ядовитых грибов – мухоморов, так называемый «микродозинг», а также популяризация устройс</w:t>
      </w:r>
      <w:r>
        <w:t>тв и систем доставки никотина в организм. На этом фоне периодически публикуются данные о возможности использования различных наркотических средств и психотропных веществ посредством «вейпов».</w:t>
      </w:r>
    </w:p>
    <w:p w:rsidR="00DC1467" w:rsidRDefault="00B70D3E">
      <w:pPr>
        <w:spacing w:line="276" w:lineRule="auto"/>
        <w:ind w:firstLine="709"/>
      </w:pPr>
      <w:r>
        <w:t xml:space="preserve">Сохраняется риск вовлечения в потребление психоактивных веществ </w:t>
      </w:r>
      <w:r>
        <w:t>на фоне роста толерантности при употреблении несовершеннолетними никотин-содержащих изделий (снюсы, насвай, «вейпы», «фит», снафф и т.д.).</w:t>
      </w:r>
    </w:p>
    <w:p w:rsidR="00DC1467" w:rsidRDefault="00B70D3E">
      <w:pPr>
        <w:widowControl w:val="0"/>
        <w:tabs>
          <w:tab w:val="left" w:pos="9356"/>
          <w:tab w:val="left" w:pos="10065"/>
        </w:tabs>
        <w:spacing w:line="276" w:lineRule="auto"/>
        <w:ind w:firstLine="709"/>
      </w:pPr>
      <w:r>
        <w:t>Таким образом, сохранение усилий по контролю за соблюдением регламентированного отпуска лекарственных препаратов по р</w:t>
      </w:r>
      <w:r>
        <w:t xml:space="preserve">ецептурным бланкам, учету таких лекарственных средств, а также неотвратимость наказания недобросовестных представителей аптечных сетей должны уменьшить доступность контрафактных лекарственных веществ без назначения врача в свободном доступе. </w:t>
      </w:r>
    </w:p>
    <w:p w:rsidR="00DC1467" w:rsidRDefault="00B70D3E">
      <w:pPr>
        <w:widowControl w:val="0"/>
        <w:tabs>
          <w:tab w:val="left" w:pos="9356"/>
          <w:tab w:val="left" w:pos="10065"/>
        </w:tabs>
        <w:spacing w:line="276" w:lineRule="auto"/>
        <w:ind w:firstLine="709"/>
      </w:pPr>
      <w:r>
        <w:t>Эффективность</w:t>
      </w:r>
      <w:r>
        <w:t xml:space="preserve"> мероприятий по противодействию распространения наркотических средств, особенно синтетического происхождения, посредством интернет-площадок ведет к снижению возможности приобретения синтетических «дизайнерских» наркотиков. </w:t>
      </w:r>
    </w:p>
    <w:p w:rsidR="00DC1467" w:rsidRDefault="00B70D3E">
      <w:pPr>
        <w:widowControl w:val="0"/>
        <w:tabs>
          <w:tab w:val="left" w:pos="9356"/>
          <w:tab w:val="left" w:pos="10065"/>
        </w:tabs>
        <w:spacing w:line="276" w:lineRule="auto"/>
        <w:ind w:firstLine="709"/>
      </w:pPr>
      <w:r>
        <w:t>Психотические расстройства, вызы</w:t>
      </w:r>
      <w:r>
        <w:t>ваемые употреблением «дизайнерских» наркотиков, и угнетение работы жизненно важных систем организма, вызываемое группой наркотических веществ опиатного ряда, представляют серьезную проблему.</w:t>
      </w:r>
    </w:p>
    <w:p w:rsidR="00DC1467" w:rsidRDefault="00B70D3E">
      <w:pPr>
        <w:widowControl w:val="0"/>
        <w:tabs>
          <w:tab w:val="left" w:pos="9356"/>
          <w:tab w:val="left" w:pos="10065"/>
        </w:tabs>
        <w:spacing w:line="276" w:lineRule="auto"/>
        <w:ind w:firstLine="709"/>
      </w:pPr>
      <w:r>
        <w:t>Психотическое состояние – это проявление качественного сбоя в раб</w:t>
      </w:r>
      <w:r>
        <w:t>оте нервной системы в результате токсического и наркогенного действия. Сами психотические расстройства носят временный, функциональный характер, имитируют клинику психических заболеваний (шизофрении и других острых психозов) и приводят к переструктурирован</w:t>
      </w:r>
      <w:r>
        <w:t>ию работы нервной системы. Отсюда ближайшими последствиями являются выраженное снижение волевого и энергетического потенциала, снижение когнитивных функций, а в отдаленных перспективах – развитие психоорганического симптомокомплекса с деградацией нервной т</w:t>
      </w:r>
      <w:r>
        <w:t>кани и изменением поведения потребителя синтетических наркотиков, особенно с токсическим компонентом опьянения.</w:t>
      </w:r>
    </w:p>
    <w:p w:rsidR="00DC1467" w:rsidRDefault="00B70D3E">
      <w:pPr>
        <w:widowControl w:val="0"/>
        <w:tabs>
          <w:tab w:val="left" w:pos="9356"/>
          <w:tab w:val="left" w:pos="10065"/>
        </w:tabs>
        <w:spacing w:line="276" w:lineRule="auto"/>
        <w:ind w:firstLine="709"/>
      </w:pPr>
      <w:r>
        <w:t>Смертельные отравления наркотическими средствами группы опиатов возникают чаще всего из-за угнетения функционирования дыхательного центра, что приводит к урежению частоты дыхания, гипоксии и, как следствие, без вмешательства, остановке дыхательной деятельн</w:t>
      </w:r>
      <w:r>
        <w:t>ости. Таким образом, можно прогнозировать при дальнейшем замещении в классе потребляемых наркотических средств на синтетические опиоиды (в том числе метадон) увеличение числа смертельных отравлений и развитие психотической симптоматики.</w:t>
      </w:r>
    </w:p>
    <w:p w:rsidR="00DC1467" w:rsidRDefault="00B70D3E">
      <w:pPr>
        <w:widowControl w:val="0"/>
        <w:tabs>
          <w:tab w:val="left" w:pos="9356"/>
          <w:tab w:val="left" w:pos="10065"/>
        </w:tabs>
        <w:spacing w:line="276" w:lineRule="auto"/>
        <w:ind w:firstLine="709"/>
      </w:pPr>
      <w:r>
        <w:t>Предполагается, что</w:t>
      </w:r>
      <w:r>
        <w:t xml:space="preserve"> без эффективных и действенных мероприятий по ограничению со стороны специалистов IT-сектора и кибербезопасности, бесконтактный способ распространения наркотических средств и психотропных веществ посредством интернет-магазинов теневого сегмента интернета с</w:t>
      </w:r>
      <w:r>
        <w:t>охранит и укрепит свою значимость, что может привести к избыточному предложению новых видов психоактивных веществ, либо психоактивных лекарственных препаратов для целей немедицинского потребления.</w:t>
      </w:r>
    </w:p>
    <w:p w:rsidR="00DC1467" w:rsidRDefault="00B70D3E">
      <w:pPr>
        <w:widowControl w:val="0"/>
        <w:tabs>
          <w:tab w:val="left" w:pos="9356"/>
          <w:tab w:val="left" w:pos="10065"/>
        </w:tabs>
        <w:spacing w:line="276" w:lineRule="auto"/>
        <w:ind w:firstLine="709"/>
      </w:pPr>
      <w:r>
        <w:t>Анализируя статистические показатели наркологической службы</w:t>
      </w:r>
      <w:r>
        <w:t xml:space="preserve"> Ханты-Мансийского автономного округа – Югры, текущую наркоситуацию, можно предполагать тенденции к незначительному увеличению общей и первичной заболеваемости наркоманией общей и первичной заболеваемости пагубного употребления наркотиков в краткосрочной п</w:t>
      </w:r>
      <w:r>
        <w:t>ерспективе.</w:t>
      </w:r>
    </w:p>
    <w:p w:rsidR="00DC1467" w:rsidRDefault="00DC1467">
      <w:pPr>
        <w:widowControl w:val="0"/>
        <w:tabs>
          <w:tab w:val="left" w:pos="9356"/>
          <w:tab w:val="left" w:pos="10065"/>
        </w:tabs>
        <w:spacing w:line="276" w:lineRule="auto"/>
        <w:ind w:firstLine="709"/>
        <w:rPr>
          <w:highlight w:val="yellow"/>
        </w:rPr>
      </w:pPr>
    </w:p>
    <w:p w:rsidR="00DC1467" w:rsidRDefault="00DC1467">
      <w:pPr>
        <w:widowControl w:val="0"/>
        <w:tabs>
          <w:tab w:val="left" w:pos="9356"/>
          <w:tab w:val="left" w:pos="10065"/>
        </w:tabs>
        <w:spacing w:line="276" w:lineRule="auto"/>
        <w:ind w:firstLine="709"/>
        <w:rPr>
          <w:b/>
          <w:highlight w:val="yellow"/>
        </w:rPr>
        <w:sectPr w:rsidR="00DC1467">
          <w:pgSz w:w="11906" w:h="16838"/>
          <w:pgMar w:top="1134" w:right="851" w:bottom="1134" w:left="1701" w:header="709" w:footer="709" w:gutter="0"/>
          <w:cols w:space="708"/>
          <w:docGrid w:linePitch="360"/>
        </w:sectPr>
      </w:pPr>
    </w:p>
    <w:p w:rsidR="00DC1467" w:rsidRDefault="00B70D3E">
      <w:pPr>
        <w:widowControl w:val="0"/>
        <w:tabs>
          <w:tab w:val="left" w:pos="9356"/>
          <w:tab w:val="left" w:pos="10065"/>
        </w:tabs>
        <w:spacing w:line="276" w:lineRule="auto"/>
        <w:ind w:firstLine="709"/>
        <w:rPr>
          <w:b/>
          <w:highlight w:val="white"/>
        </w:rPr>
      </w:pPr>
      <w:r>
        <w:rPr>
          <w:b/>
          <w:highlight w:val="white"/>
        </w:rPr>
        <w:t>10. Проекты управленческих решений и предложения по оздоровлению наркоситуации в Ханты-Мансийском автономном округе – Югре и в Российской Федерации в целом</w:t>
      </w:r>
    </w:p>
    <w:p w:rsidR="00DC1467" w:rsidRDefault="00DC1467">
      <w:pPr>
        <w:pStyle w:val="ConsPlusNormal"/>
        <w:spacing w:line="276" w:lineRule="auto"/>
        <w:ind w:firstLine="709"/>
        <w:jc w:val="both"/>
        <w:rPr>
          <w:rFonts w:ascii="Times New Roman" w:hAnsi="Times New Roman" w:cs="Times New Roman"/>
          <w:b/>
          <w:sz w:val="28"/>
          <w:szCs w:val="28"/>
          <w:highlight w:val="white"/>
        </w:rPr>
      </w:pPr>
    </w:p>
    <w:p w:rsidR="00DC1467" w:rsidRDefault="00B70D3E">
      <w:pPr>
        <w:pStyle w:val="ad"/>
        <w:numPr>
          <w:ilvl w:val="0"/>
          <w:numId w:val="45"/>
        </w:numPr>
        <w:spacing w:line="269" w:lineRule="auto"/>
        <w:ind w:left="0" w:firstLine="709"/>
        <w:rPr>
          <w:rFonts w:eastAsia="Calibri"/>
          <w:highlight w:val="white"/>
        </w:rPr>
      </w:pPr>
      <w:r>
        <w:rPr>
          <w:rFonts w:eastAsia="Calibri"/>
          <w:highlight w:val="white"/>
        </w:rPr>
        <w:t>Совершенствование системы лечения и реабилитации по направлениям:</w:t>
      </w:r>
    </w:p>
    <w:p w:rsidR="00DC1467" w:rsidRDefault="00B70D3E">
      <w:pPr>
        <w:spacing w:line="269" w:lineRule="auto"/>
        <w:ind w:firstLine="709"/>
        <w:rPr>
          <w:rFonts w:eastAsia="Calibri"/>
          <w:highlight w:val="white"/>
        </w:rPr>
      </w:pPr>
      <w:r>
        <w:rPr>
          <w:rFonts w:eastAsia="Calibri"/>
          <w:highlight w:val="white"/>
        </w:rPr>
        <w:t>дост</w:t>
      </w:r>
      <w:r>
        <w:rPr>
          <w:rFonts w:eastAsia="Calibri"/>
          <w:highlight w:val="white"/>
        </w:rPr>
        <w:t>упность лечения: увеличение количества бесплатных реабилитационных центров и программ для наркозависимых;</w:t>
      </w:r>
    </w:p>
    <w:p w:rsidR="00DC1467" w:rsidRDefault="00B70D3E">
      <w:pPr>
        <w:spacing w:line="269" w:lineRule="auto"/>
        <w:ind w:firstLine="709"/>
        <w:rPr>
          <w:rFonts w:eastAsia="Calibri"/>
          <w:highlight w:val="white"/>
        </w:rPr>
      </w:pPr>
      <w:r>
        <w:rPr>
          <w:rFonts w:eastAsia="Calibri"/>
          <w:highlight w:val="white"/>
        </w:rPr>
        <w:t>качество услуг: подготовка квалифицированных специалистов в области наркологии и психологии;</w:t>
      </w:r>
    </w:p>
    <w:p w:rsidR="00DC1467" w:rsidRDefault="00B70D3E">
      <w:pPr>
        <w:pStyle w:val="ad"/>
        <w:spacing w:line="269" w:lineRule="auto"/>
        <w:ind w:left="0" w:firstLine="709"/>
        <w:rPr>
          <w:rFonts w:eastAsia="Calibri"/>
          <w:highlight w:val="white"/>
        </w:rPr>
      </w:pPr>
      <w:r>
        <w:rPr>
          <w:rFonts w:eastAsia="Calibri"/>
          <w:highlight w:val="white"/>
        </w:rPr>
        <w:t>постреабилитационная</w:t>
      </w:r>
      <w:r>
        <w:rPr>
          <w:rFonts w:eastAsia="Calibri"/>
          <w:highlight w:val="white"/>
        </w:rPr>
        <w:t xml:space="preserve"> поддержка: реализация программ социальной адаптации для бывших наркозависимых, включая трудоустройство и психологическую помощь.</w:t>
      </w:r>
    </w:p>
    <w:p w:rsidR="00DC1467" w:rsidRDefault="00B70D3E">
      <w:pPr>
        <w:spacing w:line="269" w:lineRule="auto"/>
        <w:ind w:firstLine="709"/>
        <w:rPr>
          <w:rFonts w:eastAsia="Calibri"/>
          <w:highlight w:val="white"/>
        </w:rPr>
      </w:pPr>
      <w:r>
        <w:rPr>
          <w:rFonts w:eastAsia="Calibri"/>
        </w:rPr>
        <w:t>2) Дополнительные меры по</w:t>
      </w:r>
      <w:r>
        <w:rPr>
          <w:rFonts w:eastAsia="Calibri"/>
          <w:highlight w:val="white"/>
        </w:rPr>
        <w:t xml:space="preserve"> контролю за оборотом наркотических средств и психотропных веществ:</w:t>
      </w:r>
    </w:p>
    <w:p w:rsidR="00DC1467" w:rsidRDefault="00B70D3E">
      <w:pPr>
        <w:spacing w:line="269" w:lineRule="auto"/>
        <w:ind w:firstLine="709"/>
        <w:rPr>
          <w:rFonts w:eastAsia="Calibri"/>
          <w:highlight w:val="white"/>
        </w:rPr>
      </w:pPr>
      <w:r>
        <w:rPr>
          <w:rFonts w:eastAsia="Calibri"/>
          <w:highlight w:val="white"/>
        </w:rPr>
        <w:t>борьба с незаконным оборотом нарк</w:t>
      </w:r>
      <w:r>
        <w:rPr>
          <w:rFonts w:eastAsia="Calibri"/>
          <w:highlight w:val="white"/>
        </w:rPr>
        <w:t>отиков: повышение эффективности работы правоохранительных органов по выявлению и пресечению каналов поставки наркотиков;</w:t>
      </w:r>
    </w:p>
    <w:p w:rsidR="00DC1467" w:rsidRDefault="00B70D3E">
      <w:pPr>
        <w:spacing w:line="269" w:lineRule="auto"/>
        <w:ind w:firstLine="709"/>
        <w:rPr>
          <w:rFonts w:eastAsia="Calibri"/>
          <w:highlight w:val="white"/>
        </w:rPr>
      </w:pPr>
      <w:r>
        <w:rPr>
          <w:rFonts w:eastAsia="Calibri"/>
          <w:highlight w:val="white"/>
        </w:rPr>
        <w:t>контроль за аптеками: усиление ведомственного и общественного контроля за продажей лекарственных препаратов, которые могут быть использ</w:t>
      </w:r>
      <w:r>
        <w:rPr>
          <w:rFonts w:eastAsia="Calibri"/>
          <w:highlight w:val="white"/>
        </w:rPr>
        <w:t>ованы для изготовления наркотиков.</w:t>
      </w:r>
    </w:p>
    <w:p w:rsidR="00DC1467" w:rsidRDefault="00B70D3E">
      <w:pPr>
        <w:spacing w:line="269" w:lineRule="auto"/>
        <w:ind w:left="709" w:firstLine="0"/>
        <w:rPr>
          <w:rFonts w:eastAsia="Calibri"/>
          <w:highlight w:val="white"/>
        </w:rPr>
      </w:pPr>
      <w:r>
        <w:rPr>
          <w:rFonts w:eastAsia="Calibri"/>
        </w:rPr>
        <w:t>3) Совершенствование м</w:t>
      </w:r>
      <w:r>
        <w:rPr>
          <w:rFonts w:eastAsia="Calibri"/>
          <w:highlight w:val="white"/>
        </w:rPr>
        <w:t>ежведомственного взаимодействия:</w:t>
      </w:r>
    </w:p>
    <w:p w:rsidR="00DC1467" w:rsidRDefault="00B70D3E">
      <w:pPr>
        <w:pStyle w:val="ad"/>
        <w:spacing w:line="269" w:lineRule="auto"/>
        <w:ind w:left="0" w:firstLine="709"/>
        <w:rPr>
          <w:rFonts w:eastAsia="Calibri"/>
          <w:highlight w:val="white"/>
        </w:rPr>
      </w:pPr>
      <w:r>
        <w:rPr>
          <w:rFonts w:eastAsia="Calibri"/>
          <w:highlight w:val="white"/>
        </w:rPr>
        <w:t>создание межведомственных рабочих групп при антинаркотических комиссиях для анализа причин и условий возникновения негативной динамики показателей наркоситуации и под</w:t>
      </w:r>
      <w:r>
        <w:rPr>
          <w:rFonts w:eastAsia="Calibri"/>
          <w:highlight w:val="white"/>
        </w:rPr>
        <w:t>готовки решений, реализация которых способна положительно повлиять на ее изменение;</w:t>
      </w:r>
    </w:p>
    <w:p w:rsidR="00DC1467" w:rsidRDefault="00B70D3E">
      <w:pPr>
        <w:pStyle w:val="ad"/>
        <w:spacing w:line="269" w:lineRule="auto"/>
        <w:ind w:left="0" w:firstLine="709"/>
        <w:rPr>
          <w:rFonts w:eastAsia="Calibri"/>
          <w:highlight w:val="white"/>
        </w:rPr>
      </w:pPr>
      <w:r>
        <w:rPr>
          <w:rFonts w:eastAsia="Calibri"/>
          <w:highlight w:val="white"/>
        </w:rPr>
        <w:t>разработка и совершенствование единой базы данных для мониторинга наркоситуации и эффективного реагирования на изменения;</w:t>
      </w:r>
    </w:p>
    <w:p w:rsidR="00DC1467" w:rsidRDefault="00B70D3E">
      <w:pPr>
        <w:pStyle w:val="ad"/>
        <w:spacing w:line="269" w:lineRule="auto"/>
        <w:ind w:left="0" w:firstLine="709"/>
        <w:rPr>
          <w:highlight w:val="white"/>
        </w:rPr>
      </w:pPr>
      <w:r>
        <w:rPr>
          <w:rFonts w:eastAsia="Calibri"/>
        </w:rPr>
        <w:t>расширение и активизация</w:t>
      </w:r>
      <w:r>
        <w:rPr>
          <w:highlight w:val="white"/>
        </w:rPr>
        <w:t xml:space="preserve"> межведомственного сотрудн</w:t>
      </w:r>
      <w:r>
        <w:rPr>
          <w:highlight w:val="white"/>
        </w:rPr>
        <w:t>ичества органов системы профилактики наркомании, общественных организаций и представителей информационного и масс-медиа пространства (СМИ, рекламные агентства, блогеры, организации полиграфии и печатной продукции и пр.), направленного на популяризацию здор</w:t>
      </w:r>
      <w:r>
        <w:rPr>
          <w:highlight w:val="white"/>
        </w:rPr>
        <w:t>ового образа жизни; информирование о возможностях обучения новым знаниям и умениям, или развития имеющихся навыков и талантов; поддержку активной гражданской позиции у каждого жителя Югры, а также просвещение населения о последствиях и ответственности в св</w:t>
      </w:r>
      <w:r>
        <w:rPr>
          <w:highlight w:val="white"/>
        </w:rPr>
        <w:t>язи с незаконным оборотом психоактивных веществ (административная и уголовная ответственность, проблемы в семейных отношениях, трудовая дезадаптация, личностная деградация);</w:t>
      </w:r>
    </w:p>
    <w:p w:rsidR="00DC1467" w:rsidRDefault="00B70D3E">
      <w:pPr>
        <w:pStyle w:val="ad"/>
        <w:spacing w:line="269" w:lineRule="auto"/>
        <w:ind w:left="0" w:firstLine="709"/>
        <w:rPr>
          <w:highlight w:val="white"/>
        </w:rPr>
      </w:pPr>
      <w:r>
        <w:rPr>
          <w:rFonts w:eastAsia="Calibri"/>
          <w:highlight w:val="white"/>
        </w:rPr>
        <w:t>у</w:t>
      </w:r>
      <w:r>
        <w:rPr>
          <w:highlight w:val="white"/>
        </w:rPr>
        <w:t>силение межведомственного сотрудничества правоохранительных органов, органов сист</w:t>
      </w:r>
      <w:r>
        <w:rPr>
          <w:highlight w:val="white"/>
        </w:rPr>
        <w:t>емы профилактики, общественных организаций и представителей информационного и масс-медиа пространства по перекрытию информационных каналов и рекламы незаконной деятельности в социальных сетях и мессенджерах, пресечению завоза и выявлению каналов сбыта нарк</w:t>
      </w:r>
      <w:r>
        <w:rPr>
          <w:highlight w:val="white"/>
        </w:rPr>
        <w:t>отических средств на территории автономного округа, выявлению потребителей наркотических средств.</w:t>
      </w:r>
    </w:p>
    <w:p w:rsidR="00DC1467" w:rsidRDefault="00B70D3E">
      <w:pPr>
        <w:spacing w:line="269" w:lineRule="auto"/>
        <w:ind w:left="709" w:firstLine="0"/>
        <w:rPr>
          <w:rFonts w:eastAsia="Calibri"/>
          <w:highlight w:val="white"/>
        </w:rPr>
      </w:pPr>
      <w:r>
        <w:rPr>
          <w:rFonts w:eastAsia="Calibri"/>
        </w:rPr>
        <w:t xml:space="preserve">4) </w:t>
      </w:r>
      <w:r>
        <w:rPr>
          <w:rFonts w:eastAsia="Calibri"/>
          <w:highlight w:val="white"/>
        </w:rPr>
        <w:t>Поддержка научных исследований:</w:t>
      </w:r>
    </w:p>
    <w:p w:rsidR="00DC1467" w:rsidRDefault="00B70D3E">
      <w:pPr>
        <w:spacing w:line="269" w:lineRule="auto"/>
        <w:ind w:firstLine="709"/>
        <w:rPr>
          <w:rFonts w:eastAsia="Calibri"/>
          <w:highlight w:val="white"/>
        </w:rPr>
      </w:pPr>
      <w:r>
        <w:rPr>
          <w:rFonts w:eastAsia="Calibri"/>
          <w:highlight w:val="white"/>
        </w:rPr>
        <w:t>проведение исследований, направленных на выявление социальных, экономических и психологических факторов, способствующих распространению наркомании;</w:t>
      </w:r>
    </w:p>
    <w:p w:rsidR="00DC1467" w:rsidRDefault="00B70D3E">
      <w:pPr>
        <w:spacing w:line="269" w:lineRule="auto"/>
        <w:ind w:firstLine="709"/>
        <w:rPr>
          <w:rFonts w:eastAsia="Calibri"/>
          <w:highlight w:val="white"/>
        </w:rPr>
      </w:pPr>
      <w:r>
        <w:rPr>
          <w:rFonts w:eastAsia="Calibri"/>
          <w:highlight w:val="white"/>
        </w:rPr>
        <w:t>поддержка научных проектов, направленных на создание эффективных методик лечения и реабилитации наркозависим</w:t>
      </w:r>
      <w:r>
        <w:rPr>
          <w:rFonts w:eastAsia="Calibri"/>
          <w:highlight w:val="white"/>
        </w:rPr>
        <w:t>ых.</w:t>
      </w:r>
    </w:p>
    <w:p w:rsidR="00DC1467" w:rsidRDefault="00B70D3E">
      <w:pPr>
        <w:spacing w:line="269" w:lineRule="auto"/>
        <w:ind w:left="709" w:firstLine="0"/>
        <w:rPr>
          <w:rFonts w:eastAsia="Calibri"/>
          <w:highlight w:val="white"/>
        </w:rPr>
      </w:pPr>
      <w:r>
        <w:rPr>
          <w:rFonts w:eastAsia="Calibri"/>
        </w:rPr>
        <w:t xml:space="preserve">5) </w:t>
      </w:r>
      <w:r>
        <w:rPr>
          <w:rFonts w:eastAsia="Calibri"/>
          <w:highlight w:val="white"/>
        </w:rPr>
        <w:t>Социальная поддержка населения:</w:t>
      </w:r>
    </w:p>
    <w:p w:rsidR="00DC1467" w:rsidRDefault="00B70D3E">
      <w:pPr>
        <w:spacing w:line="269" w:lineRule="auto"/>
        <w:ind w:firstLine="709"/>
        <w:rPr>
          <w:rFonts w:eastAsia="Calibri"/>
          <w:highlight w:val="white"/>
        </w:rPr>
      </w:pPr>
      <w:r>
        <w:rPr>
          <w:rFonts w:eastAsia="Calibri"/>
          <w:highlight w:val="white"/>
        </w:rPr>
        <w:t>развитие спортивных, культурных и образовательных программ для молодежи, чтобы снизить риск вовлечения в наркоманию;</w:t>
      </w:r>
    </w:p>
    <w:p w:rsidR="00DC1467" w:rsidRDefault="00B70D3E">
      <w:pPr>
        <w:spacing w:line="269" w:lineRule="auto"/>
        <w:ind w:firstLine="709"/>
        <w:rPr>
          <w:rFonts w:eastAsia="Calibri"/>
          <w:highlight w:val="white"/>
        </w:rPr>
      </w:pPr>
      <w:r>
        <w:rPr>
          <w:rFonts w:eastAsia="Calibri"/>
          <w:highlight w:val="white"/>
        </w:rPr>
        <w:t>оказание помощи семьям, столкнувшимся с проблемой наркомании, включая консультации психологов и соци</w:t>
      </w:r>
      <w:r>
        <w:rPr>
          <w:rFonts w:eastAsia="Calibri"/>
          <w:highlight w:val="white"/>
        </w:rPr>
        <w:t>альных работников.</w:t>
      </w:r>
    </w:p>
    <w:p w:rsidR="00DC1467" w:rsidRDefault="00B70D3E">
      <w:pPr>
        <w:spacing w:line="269" w:lineRule="auto"/>
        <w:ind w:left="709" w:firstLine="0"/>
        <w:rPr>
          <w:rFonts w:eastAsia="Calibri"/>
          <w:highlight w:val="white"/>
        </w:rPr>
      </w:pPr>
      <w:r>
        <w:rPr>
          <w:rFonts w:eastAsia="Calibri"/>
        </w:rPr>
        <w:t xml:space="preserve">6) </w:t>
      </w:r>
      <w:r>
        <w:rPr>
          <w:rFonts w:eastAsia="Calibri"/>
          <w:highlight w:val="white"/>
        </w:rPr>
        <w:t>Правовые инициативы (инициирование и поддержка):</w:t>
      </w:r>
    </w:p>
    <w:p w:rsidR="00DC1467" w:rsidRDefault="00B70D3E">
      <w:pPr>
        <w:spacing w:line="269" w:lineRule="auto"/>
        <w:ind w:firstLine="709"/>
        <w:rPr>
          <w:color w:val="000000"/>
          <w:highlight w:val="white"/>
        </w:rPr>
      </w:pPr>
      <w:r>
        <w:rPr>
          <w:color w:val="000000"/>
          <w:highlight w:val="white"/>
        </w:rPr>
        <w:t xml:space="preserve">ужесточение ответственности за совершение правонарушений, предусмотренных статьями 14.1 и 14.4.2 Кодекса Российской Федерации об административных правонарушениях; </w:t>
      </w:r>
    </w:p>
    <w:p w:rsidR="00DC1467" w:rsidRDefault="00B70D3E">
      <w:pPr>
        <w:spacing w:line="269" w:lineRule="auto"/>
        <w:ind w:firstLine="709"/>
        <w:rPr>
          <w:color w:val="000000"/>
          <w:highlight w:val="white"/>
        </w:rPr>
      </w:pPr>
      <w:r>
        <w:rPr>
          <w:color w:val="000000"/>
          <w:highlight w:val="white"/>
        </w:rPr>
        <w:t>дополнение перечня ле</w:t>
      </w:r>
      <w:r>
        <w:rPr>
          <w:color w:val="000000"/>
          <w:highlight w:val="white"/>
        </w:rPr>
        <w:t>карственных средств для медицинского применения, подлежащих предметно-количественному учету (утв. приказом Министерства здравоохранения РФ от 01.09.2023 № 459н «Об утверждении перечня лекарственных средств для медицинского применения, подлежащих предметно-</w:t>
      </w:r>
      <w:r>
        <w:rPr>
          <w:color w:val="000000"/>
          <w:highlight w:val="white"/>
        </w:rPr>
        <w:t>количественному учету», позициями: МНН «Габапентин», МНН «Баклосан», МНН «Тропикамид + Фенилэфрин» (Феникамид, Мидримакс), МНН «Парацетамол + Дицикловерин» (Триган-Д);</w:t>
      </w:r>
    </w:p>
    <w:p w:rsidR="00DC1467" w:rsidRDefault="00B70D3E">
      <w:pPr>
        <w:spacing w:line="269" w:lineRule="auto"/>
        <w:ind w:firstLine="709"/>
        <w:rPr>
          <w:color w:val="000000"/>
          <w:highlight w:val="white"/>
        </w:rPr>
      </w:pPr>
      <w:r>
        <w:rPr>
          <w:color w:val="000000"/>
          <w:highlight w:val="white"/>
        </w:rPr>
        <w:t>исключение слов «первичная упаковка» из пункта 14 Приказа Министерства здравоохранения Р</w:t>
      </w:r>
      <w:r>
        <w:rPr>
          <w:color w:val="000000"/>
          <w:highlight w:val="white"/>
        </w:rPr>
        <w:t>Ф от 24.11.2021 № 1093н «Об утверждении Правил отпуска лекарственных препаратов для медицинского применения аптечными организациями, индивидуальными предпринимателями, имеющими лицензию на осуществление фармацевтической деятельности, медицинскими организац</w:t>
      </w:r>
      <w:r>
        <w:rPr>
          <w:color w:val="000000"/>
          <w:highlight w:val="white"/>
        </w:rPr>
        <w:t>иями, имеющими лицензию на осуществление фармацевтической деятельности, и их обособленными подразделениями (амбулаториями, фельдшерскими и фельдшерско-акушерскими пунктами, центрами (отделениями) общей врачебной (семейной) практики), расположенными в сельс</w:t>
      </w:r>
      <w:r>
        <w:rPr>
          <w:color w:val="000000"/>
          <w:highlight w:val="white"/>
        </w:rPr>
        <w:t>ких поселениях, в которых отсутствуют аптечные организации, а также Правил отпуска наркотических средств и психотропных веществ, зарегистрированных в качестве лекарственных препаратов для медицинского применения, лекарственных препаратов для медицинского п</w:t>
      </w:r>
      <w:r>
        <w:rPr>
          <w:color w:val="000000"/>
          <w:highlight w:val="white"/>
        </w:rPr>
        <w:t>рименения, содержащих наркотические средства и психотропные вещества, в том числе Порядка отпуска аптечными организациями иммунобиологических лекарственных препаратов».</w:t>
      </w:r>
    </w:p>
    <w:p w:rsidR="00DC1467" w:rsidRDefault="00B70D3E">
      <w:pPr>
        <w:spacing w:line="269" w:lineRule="auto"/>
        <w:ind w:firstLine="709"/>
        <w:rPr>
          <w:color w:val="000000"/>
          <w:highlight w:val="white"/>
        </w:rPr>
      </w:pPr>
      <w:r>
        <w:t xml:space="preserve">7) </w:t>
      </w:r>
      <w:r>
        <w:rPr>
          <w:highlight w:val="white"/>
        </w:rPr>
        <w:t>Включение в составы антинаркотических комиссий муниципальных образований автономного</w:t>
      </w:r>
      <w:r>
        <w:rPr>
          <w:highlight w:val="white"/>
        </w:rPr>
        <w:t xml:space="preserve"> округа представителей военных комиссариатов для выработки решений, направленных на</w:t>
      </w:r>
      <w:r>
        <w:rPr>
          <w:color w:val="000000"/>
          <w:highlight w:val="white"/>
        </w:rPr>
        <w:t xml:space="preserve"> профилактику немедицинского потребления психоактивных веществ среди военнослужащих, пребывающих из зоны проведения СВО, оказания им своевременной медицинской, психологическ</w:t>
      </w:r>
      <w:r>
        <w:rPr>
          <w:color w:val="000000"/>
          <w:highlight w:val="white"/>
        </w:rPr>
        <w:t>ой и социальной помощи.</w:t>
      </w:r>
    </w:p>
    <w:p w:rsidR="00DC1467" w:rsidRDefault="00B70D3E">
      <w:pPr>
        <w:tabs>
          <w:tab w:val="left" w:pos="1276"/>
          <w:tab w:val="left" w:pos="1843"/>
        </w:tabs>
        <w:spacing w:line="269" w:lineRule="auto"/>
        <w:ind w:firstLine="709"/>
        <w:rPr>
          <w:highlight w:val="white"/>
        </w:rPr>
      </w:pPr>
      <w:r>
        <w:rPr>
          <w:rFonts w:eastAsia="Calibri"/>
        </w:rPr>
        <w:t xml:space="preserve">8) Органам управления в сфере образования и </w:t>
      </w:r>
      <w:r>
        <w:t>р</w:t>
      </w:r>
      <w:r>
        <w:rPr>
          <w:highlight w:val="white"/>
        </w:rPr>
        <w:t xml:space="preserve">уководителям образовательных организаций автономного округа: </w:t>
      </w:r>
    </w:p>
    <w:p w:rsidR="00DC1467" w:rsidRDefault="00B70D3E">
      <w:pPr>
        <w:tabs>
          <w:tab w:val="left" w:pos="1276"/>
          <w:tab w:val="left" w:pos="1843"/>
        </w:tabs>
        <w:spacing w:line="269" w:lineRule="auto"/>
        <w:ind w:firstLine="709"/>
        <w:contextualSpacing/>
        <w:rPr>
          <w:highlight w:val="white"/>
        </w:rPr>
      </w:pPr>
      <w:r>
        <w:t>сохранение высокого уровня ор</w:t>
      </w:r>
      <w:r>
        <w:rPr>
          <w:highlight w:val="white"/>
        </w:rPr>
        <w:t>ганизации и проведения социально-психологического тестирования обучающихся, в том числе путем ин</w:t>
      </w:r>
      <w:r>
        <w:rPr>
          <w:highlight w:val="white"/>
        </w:rPr>
        <w:t>формационно-разъяснительной работы с педагогическими работниками образовательных организаций, обучающимися и их родителями (законными представителями) с целью снижения количества отказов от участия в тестировании;</w:t>
      </w:r>
    </w:p>
    <w:p w:rsidR="00DC1467" w:rsidRDefault="00B70D3E">
      <w:pPr>
        <w:tabs>
          <w:tab w:val="left" w:pos="1276"/>
          <w:tab w:val="left" w:pos="1843"/>
        </w:tabs>
        <w:spacing w:line="269" w:lineRule="auto"/>
        <w:ind w:firstLine="709"/>
        <w:contextualSpacing/>
        <w:rPr>
          <w:highlight w:val="white"/>
        </w:rPr>
      </w:pPr>
      <w:r>
        <w:rPr>
          <w:color w:val="000000"/>
          <w:highlight w:val="white"/>
        </w:rPr>
        <w:t>организация профилактической работы в тече</w:t>
      </w:r>
      <w:r>
        <w:rPr>
          <w:color w:val="000000"/>
          <w:highlight w:val="white"/>
        </w:rPr>
        <w:t>ние учебного года с обучающимися «группы риска» (по результатам тестирования)</w:t>
      </w:r>
      <w:r>
        <w:rPr>
          <w:highlight w:val="white"/>
        </w:rPr>
        <w:t xml:space="preserve"> и их родителями (законными представителями) с участием </w:t>
      </w:r>
      <w:r>
        <w:rPr>
          <w:color w:val="000000"/>
        </w:rPr>
        <w:t>Центров психолого-педагогической, медицинской и социальной помощи</w:t>
      </w:r>
      <w:r>
        <w:t xml:space="preserve"> </w:t>
      </w:r>
      <w:r>
        <w:rPr>
          <w:highlight w:val="white"/>
        </w:rPr>
        <w:t>и профильных некоммерческих организаций</w:t>
      </w:r>
      <w:r>
        <w:t>.</w:t>
      </w:r>
    </w:p>
    <w:p w:rsidR="00DC1467" w:rsidRDefault="00B70D3E">
      <w:pPr>
        <w:spacing w:line="269" w:lineRule="auto"/>
        <w:ind w:firstLine="709"/>
        <w:rPr>
          <w:color w:val="000000"/>
          <w:highlight w:val="white"/>
          <w:shd w:val="clear" w:color="auto" w:fill="FFFFFF"/>
        </w:rPr>
      </w:pPr>
      <w:r>
        <w:t xml:space="preserve">9) </w:t>
      </w:r>
      <w:r>
        <w:rPr>
          <w:highlight w:val="white"/>
        </w:rPr>
        <w:t>Проведение на</w:t>
      </w:r>
      <w:r>
        <w:rPr>
          <w:highlight w:val="white"/>
        </w:rPr>
        <w:t xml:space="preserve"> постоянной основе профилактических мероприятий среди иностранных граждан, находящихся на территории автономного округа, в части повышения уровня их информированности об ответственности за совершение правонарушений и преступлений в сфере незаконного оборот</w:t>
      </w:r>
      <w:r>
        <w:rPr>
          <w:highlight w:val="white"/>
        </w:rPr>
        <w:t>а наркотиков.</w:t>
      </w:r>
    </w:p>
    <w:p w:rsidR="00DC1467" w:rsidRDefault="00B70D3E">
      <w:pPr>
        <w:spacing w:line="269" w:lineRule="auto"/>
        <w:ind w:firstLine="709"/>
        <w:rPr>
          <w:color w:val="000000"/>
          <w:highlight w:val="white"/>
        </w:rPr>
      </w:pPr>
      <w:r>
        <w:t>10) Ф</w:t>
      </w:r>
      <w:r>
        <w:rPr>
          <w:highlight w:val="white"/>
        </w:rPr>
        <w:t xml:space="preserve">ормирование в обществе осознанного негативного отношения к незаконному потреблению наркотиков и участию в их незаконном обороте, посредством </w:t>
      </w:r>
      <w:r>
        <w:rPr>
          <w:color w:val="000000"/>
        </w:rPr>
        <w:t>проведения информационно-разъяснительной работы с населением и его целевыми группами.</w:t>
      </w:r>
    </w:p>
    <w:p w:rsidR="00DC1467" w:rsidRDefault="00DC1467">
      <w:pPr>
        <w:pStyle w:val="ad"/>
        <w:spacing w:line="276" w:lineRule="auto"/>
        <w:ind w:left="709" w:firstLine="0"/>
        <w:rPr>
          <w:highlight w:val="white"/>
        </w:rPr>
      </w:pPr>
    </w:p>
    <w:sectPr w:rsidR="00DC1467">
      <w:headerReference w:type="default" r:id="rId77"/>
      <w:headerReference w:type="first" r:id="rId78"/>
      <w:footerReference w:type="first" r:id="rId79"/>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0D3E" w:rsidRDefault="00B70D3E">
      <w:pPr>
        <w:spacing w:line="240" w:lineRule="auto"/>
      </w:pPr>
      <w:r>
        <w:separator/>
      </w:r>
    </w:p>
  </w:endnote>
  <w:endnote w:type="continuationSeparator" w:id="0">
    <w:p w:rsidR="00B70D3E" w:rsidRDefault="00B70D3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Light">
    <w:altName w:val="Arial"/>
    <w:charset w:val="CC"/>
    <w:family w:val="swiss"/>
    <w:pitch w:val="variable"/>
    <w:sig w:usb0="00000000" w:usb1="C000247B" w:usb2="00000009" w:usb3="00000000" w:csb0="000001F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1002AFF" w:usb1="C0000002" w:usb2="00000008" w:usb3="00000000" w:csb0="0001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PT Astra Serif">
    <w:altName w:val="Times New Roman"/>
    <w:charset w:val="00"/>
    <w:family w:val="auto"/>
    <w:pitch w:val="default"/>
  </w:font>
  <w:font w:name="TimesNewRomanPSMT">
    <w:altName w:val="MS Gothic"/>
    <w:panose1 w:val="00000000000000000000"/>
    <w:charset w:val="80"/>
    <w:family w:val="auto"/>
    <w:notTrueType/>
    <w:pitch w:val="default"/>
    <w:sig w:usb0="00000000" w:usb1="08070000" w:usb2="00000010" w:usb3="00000000" w:csb0="0002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9046988"/>
      <w:docPartObj>
        <w:docPartGallery w:val="Page Numbers (Bottom of Page)"/>
        <w:docPartUnique/>
      </w:docPartObj>
    </w:sdtPr>
    <w:sdtEndPr/>
    <w:sdtContent>
      <w:p w:rsidR="00DC1467" w:rsidRDefault="00B70D3E">
        <w:pPr>
          <w:pStyle w:val="aff1"/>
          <w:ind w:firstLine="0"/>
          <w:jc w:val="center"/>
        </w:pPr>
        <w:r>
          <w:fldChar w:fldCharType="begin"/>
        </w:r>
        <w:r>
          <w:instrText>PAGE   \* MERGEFORMAT</w:instrText>
        </w:r>
        <w:r>
          <w:fldChar w:fldCharType="separate"/>
        </w:r>
        <w:r w:rsidR="003B159F">
          <w:rPr>
            <w:noProof/>
          </w:rPr>
          <w:t>25</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1467" w:rsidRDefault="00DC1467">
    <w:pPr>
      <w:pStyle w:val="aff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1467" w:rsidRDefault="00DC1467">
    <w:pPr>
      <w:pStyle w:val="aff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1467" w:rsidRDefault="00DC1467">
    <w:pPr>
      <w:pStyle w:val="af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0D3E" w:rsidRDefault="00B70D3E">
      <w:pPr>
        <w:spacing w:line="240" w:lineRule="auto"/>
      </w:pPr>
      <w:r>
        <w:separator/>
      </w:r>
    </w:p>
  </w:footnote>
  <w:footnote w:type="continuationSeparator" w:id="0">
    <w:p w:rsidR="00B70D3E" w:rsidRDefault="00B70D3E">
      <w:pPr>
        <w:spacing w:line="240" w:lineRule="auto"/>
      </w:pPr>
      <w:r>
        <w:continuationSeparator/>
      </w:r>
    </w:p>
  </w:footnote>
  <w:footnote w:id="1">
    <w:p w:rsidR="00DC1467" w:rsidRDefault="00B70D3E">
      <w:pPr>
        <w:pStyle w:val="af"/>
        <w:jc w:val="both"/>
        <w:rPr>
          <w:rFonts w:ascii="Times New Roman" w:hAnsi="Times New Roman"/>
        </w:rPr>
      </w:pPr>
      <w:r>
        <w:rPr>
          <w:rStyle w:val="af1"/>
          <w:rFonts w:ascii="Times New Roman" w:hAnsi="Times New Roman"/>
        </w:rPr>
        <w:footnoteRef/>
      </w:r>
      <w:r>
        <w:rPr>
          <w:rFonts w:ascii="Times New Roman" w:hAnsi="Times New Roman"/>
        </w:rPr>
        <w:t xml:space="preserve"> Численность населения Российской Федерации по полу и возрасту на 1 января 2024 года. ХМАО – Югра [электронный ресурс]. URL: </w:t>
      </w:r>
      <w:hyperlink r:id="rId1" w:tooltip="https://rosstat.gov.ru/compendium/document/13284" w:history="1">
        <w:r>
          <w:rPr>
            <w:rStyle w:val="aff9"/>
            <w:rFonts w:ascii="Times New Roman" w:hAnsi="Times New Roman"/>
          </w:rPr>
          <w:t>https://ross</w:t>
        </w:r>
        <w:r>
          <w:rPr>
            <w:rStyle w:val="aff9"/>
            <w:rFonts w:ascii="Times New Roman" w:hAnsi="Times New Roman"/>
          </w:rPr>
          <w:t>tat.gov.ru/compendium/document/13284</w:t>
        </w:r>
      </w:hyperlink>
      <w:r>
        <w:rPr>
          <w:rFonts w:ascii="Times New Roman" w:hAnsi="Times New Roman"/>
        </w:rPr>
        <w:t xml:space="preserve"> (дата последнего обращения: 24.02.2025); Среднегодовая численность населения в разрезе городских округов и муниципальных районов ХМАО – Югры за 2022-2023 годы [электронный ресурс]. URL: </w:t>
      </w:r>
      <w:hyperlink r:id="rId2" w:tooltip="https://72.rosstat.gov.ru/ofs_demp_hmao" w:history="1">
        <w:r>
          <w:rPr>
            <w:rStyle w:val="aff9"/>
            <w:rFonts w:ascii="Times New Roman" w:hAnsi="Times New Roman"/>
          </w:rPr>
          <w:t>https://72.rosstat.gov.ru/ofs_demp_hmao</w:t>
        </w:r>
      </w:hyperlink>
      <w:r>
        <w:rPr>
          <w:rFonts w:ascii="Times New Roman" w:hAnsi="Times New Roman"/>
        </w:rPr>
        <w:t xml:space="preserve"> (дата последнего обращения: 24.02.2025); Сведения о возрастно-половом составе населения в разрезе городских округов и муниципальных районов Ханты-Ма</w:t>
      </w:r>
      <w:r>
        <w:rPr>
          <w:rFonts w:ascii="Times New Roman" w:hAnsi="Times New Roman"/>
        </w:rPr>
        <w:t xml:space="preserve">нсийского автономного округа – Югры по состоянию на </w:t>
      </w:r>
      <w:r>
        <w:rPr>
          <w:rFonts w:ascii="Times New Roman" w:hAnsi="Times New Roman"/>
        </w:rPr>
        <w:br/>
        <w:t>1 января 2024 года. Письмо Тюменьстата от 26.02.2025 № ЮК-Т74-08/905-ДР.</w:t>
      </w:r>
    </w:p>
  </w:footnote>
  <w:footnote w:id="2">
    <w:p w:rsidR="00DC1467" w:rsidRDefault="00B70D3E">
      <w:pPr>
        <w:pStyle w:val="af"/>
        <w:jc w:val="both"/>
      </w:pPr>
      <w:r>
        <w:rPr>
          <w:rStyle w:val="af1"/>
        </w:rPr>
        <w:footnoteRef/>
      </w:r>
      <w:r>
        <w:t xml:space="preserve"> </w:t>
      </w:r>
      <w:r>
        <w:rPr>
          <w:rFonts w:ascii="Times New Roman" w:hAnsi="Times New Roman"/>
        </w:rPr>
        <w:t>Статистический ежегодник: Стат. сб. Ханты-Мансийский автономный округ – Югра в 2-х частях. Ч II. (2017-2023)/ Управление Федерал</w:t>
      </w:r>
      <w:r>
        <w:rPr>
          <w:rFonts w:ascii="Times New Roman" w:hAnsi="Times New Roman"/>
        </w:rPr>
        <w:t xml:space="preserve">ьной службы государственной статистики по Тюменской области, </w:t>
      </w:r>
      <w:r>
        <w:rPr>
          <w:rFonts w:ascii="Times New Roman" w:hAnsi="Times New Roman"/>
        </w:rPr>
        <w:br/>
        <w:t>Ханты-Мансийскому автономному округу – Югре и Ямало-Ненецкому автономному округу. – Т., 2024.</w:t>
      </w:r>
    </w:p>
  </w:footnote>
  <w:footnote w:id="3">
    <w:p w:rsidR="00DC1467" w:rsidRDefault="00B70D3E">
      <w:pPr>
        <w:pStyle w:val="af"/>
        <w:jc w:val="both"/>
        <w:rPr>
          <w:rFonts w:ascii="Times New Roman" w:hAnsi="Times New Roman"/>
        </w:rPr>
      </w:pPr>
      <w:r>
        <w:rPr>
          <w:rStyle w:val="af1"/>
          <w:rFonts w:ascii="Times New Roman" w:hAnsi="Times New Roman"/>
        </w:rPr>
        <w:footnoteRef/>
      </w:r>
      <w:r>
        <w:rPr>
          <w:rFonts w:ascii="Times New Roman" w:hAnsi="Times New Roman"/>
        </w:rPr>
        <w:t xml:space="preserve"> Статистический ежегодник: Стат. сб. Ханты-Мансийский автономный округ – Югра в 2-х частях. Ч II. (</w:t>
      </w:r>
      <w:r>
        <w:rPr>
          <w:rFonts w:ascii="Times New Roman" w:hAnsi="Times New Roman"/>
        </w:rPr>
        <w:t xml:space="preserve">2017-2023)/ Управление Федеральной службы государственной статистики по Тюменской области, </w:t>
      </w:r>
      <w:r>
        <w:rPr>
          <w:rFonts w:ascii="Times New Roman" w:hAnsi="Times New Roman"/>
        </w:rPr>
        <w:br/>
        <w:t>Ханты-Мансийскому автономному округу – Югре и Ямало-Ненецкому автономному округу. – Т., 2024.</w:t>
      </w:r>
    </w:p>
  </w:footnote>
  <w:footnote w:id="4">
    <w:p w:rsidR="00DC1467" w:rsidRDefault="00B70D3E">
      <w:pPr>
        <w:pStyle w:val="af"/>
        <w:jc w:val="both"/>
        <w:rPr>
          <w:rFonts w:ascii="Times New Roman" w:hAnsi="Times New Roman"/>
        </w:rPr>
      </w:pPr>
      <w:r>
        <w:rPr>
          <w:rStyle w:val="af1"/>
          <w:rFonts w:ascii="Times New Roman" w:hAnsi="Times New Roman"/>
        </w:rPr>
        <w:footnoteRef/>
      </w:r>
      <w:r>
        <w:rPr>
          <w:rFonts w:ascii="Times New Roman" w:hAnsi="Times New Roman"/>
        </w:rPr>
        <w:t xml:space="preserve"> Основные показатели социально-экономического положения ХМАО-Югры в я</w:t>
      </w:r>
      <w:r>
        <w:rPr>
          <w:rFonts w:ascii="Times New Roman" w:hAnsi="Times New Roman"/>
        </w:rPr>
        <w:t xml:space="preserve">нваре-сентябре 2024 года [электронный ресурс]. URL:  </w:t>
      </w:r>
      <w:hyperlink r:id="rId3" w:tooltip="https://72.rosstat.gov.ru/news/document/248616" w:history="1">
        <w:r>
          <w:rPr>
            <w:rStyle w:val="aff9"/>
            <w:rFonts w:ascii="Times New Roman" w:hAnsi="Times New Roman"/>
          </w:rPr>
          <w:t>https://72.rosstat.gov.ru/news/document/248616</w:t>
        </w:r>
      </w:hyperlink>
      <w:r>
        <w:rPr>
          <w:rFonts w:ascii="Times New Roman" w:hAnsi="Times New Roman"/>
        </w:rPr>
        <w:t xml:space="preserve"> (дата последнего обращения: 24.02.2025).</w:t>
      </w:r>
    </w:p>
  </w:footnote>
  <w:footnote w:id="5">
    <w:p w:rsidR="00DC1467" w:rsidRDefault="00B70D3E">
      <w:pPr>
        <w:pStyle w:val="af"/>
        <w:jc w:val="both"/>
        <w:rPr>
          <w:rFonts w:ascii="Times New Roman" w:hAnsi="Times New Roman"/>
        </w:rPr>
      </w:pPr>
      <w:r>
        <w:rPr>
          <w:rStyle w:val="af1"/>
          <w:rFonts w:ascii="Times New Roman" w:hAnsi="Times New Roman"/>
        </w:rPr>
        <w:footnoteRef/>
      </w:r>
      <w:r>
        <w:rPr>
          <w:rFonts w:ascii="Times New Roman" w:hAnsi="Times New Roman"/>
        </w:rPr>
        <w:t xml:space="preserve"> Статистический ежегодник: Стат. сб. Ханты-Мансийский автономный округ – Югра в 2-х частях. Ч II. (2017-2023)/ Управление Федеральной службы государственной статистики по Тюменской области, </w:t>
      </w:r>
      <w:r>
        <w:rPr>
          <w:rFonts w:ascii="Times New Roman" w:hAnsi="Times New Roman"/>
        </w:rPr>
        <w:br/>
        <w:t>Ханты-Мансийскому автономному округу – Югре и Ямало-Ненецкому ав</w:t>
      </w:r>
      <w:r>
        <w:rPr>
          <w:rFonts w:ascii="Times New Roman" w:hAnsi="Times New Roman"/>
        </w:rPr>
        <w:t>тономному округу. – Т., 2024.</w:t>
      </w:r>
    </w:p>
  </w:footnote>
  <w:footnote w:id="6">
    <w:p w:rsidR="00DC1467" w:rsidRDefault="00B70D3E">
      <w:pPr>
        <w:pStyle w:val="af"/>
        <w:jc w:val="both"/>
        <w:rPr>
          <w:rFonts w:ascii="Times New Roman" w:hAnsi="Times New Roman"/>
        </w:rPr>
      </w:pPr>
      <w:r>
        <w:rPr>
          <w:rStyle w:val="af1"/>
          <w:rFonts w:ascii="Times New Roman" w:hAnsi="Times New Roman"/>
        </w:rPr>
        <w:footnoteRef/>
      </w:r>
      <w:r>
        <w:rPr>
          <w:rFonts w:ascii="Times New Roman" w:hAnsi="Times New Roman"/>
        </w:rPr>
        <w:t xml:space="preserve"> Основные показатели социально-экономического положения ХМАО-Югры в январе-ноябре 2024 года [электронный ресурс]. URL:  </w:t>
      </w:r>
      <w:hyperlink r:id="rId4" w:tooltip="https://72.rosstat.gov.ru/news/document/253227" w:history="1">
        <w:r>
          <w:rPr>
            <w:rStyle w:val="aff9"/>
            <w:rFonts w:ascii="Times New Roman" w:hAnsi="Times New Roman"/>
          </w:rPr>
          <w:t>https://72.rosstat.gov.ru/news/document/253227</w:t>
        </w:r>
      </w:hyperlink>
      <w:r>
        <w:rPr>
          <w:rFonts w:ascii="Times New Roman" w:hAnsi="Times New Roman"/>
        </w:rPr>
        <w:t xml:space="preserve"> (дата последнего обращения: 24.02.2025).</w:t>
      </w:r>
    </w:p>
  </w:footnote>
  <w:footnote w:id="7">
    <w:p w:rsidR="00DC1467" w:rsidRDefault="00B70D3E">
      <w:pPr>
        <w:pStyle w:val="af"/>
        <w:jc w:val="both"/>
        <w:rPr>
          <w:rFonts w:ascii="Times New Roman" w:hAnsi="Times New Roman"/>
        </w:rPr>
      </w:pPr>
      <w:r>
        <w:rPr>
          <w:rStyle w:val="af1"/>
          <w:rFonts w:ascii="Times New Roman" w:hAnsi="Times New Roman"/>
        </w:rPr>
        <w:footnoteRef/>
      </w:r>
      <w:r>
        <w:rPr>
          <w:rFonts w:ascii="Times New Roman" w:hAnsi="Times New Roman"/>
        </w:rPr>
        <w:t xml:space="preserve"> Основные показатели социально-экономического положения ХМАО-Югры в январе-сентябре 2024 года [электронный ресурс]. URL:  </w:t>
      </w:r>
      <w:hyperlink r:id="rId5" w:tooltip="https://72.rosstat.gov.ru/news/document/248616" w:history="1">
        <w:r>
          <w:rPr>
            <w:rStyle w:val="aff9"/>
            <w:rFonts w:ascii="Times New Roman" w:hAnsi="Times New Roman"/>
          </w:rPr>
          <w:t>https://72.rosstat.gov.ru/news/document/248616</w:t>
        </w:r>
      </w:hyperlink>
      <w:r>
        <w:rPr>
          <w:rFonts w:ascii="Times New Roman" w:hAnsi="Times New Roman"/>
        </w:rPr>
        <w:t xml:space="preserve"> (дата последнего обращения: 24.02.2025).</w:t>
      </w:r>
    </w:p>
  </w:footnote>
  <w:footnote w:id="8">
    <w:p w:rsidR="00DC1467" w:rsidRDefault="00B70D3E">
      <w:pPr>
        <w:pStyle w:val="af"/>
        <w:jc w:val="both"/>
        <w:rPr>
          <w:rFonts w:ascii="Times New Roman" w:hAnsi="Times New Roman"/>
        </w:rPr>
      </w:pPr>
      <w:r>
        <w:rPr>
          <w:rStyle w:val="af1"/>
          <w:rFonts w:ascii="Times New Roman" w:hAnsi="Times New Roman"/>
        </w:rPr>
        <w:footnoteRef/>
      </w:r>
      <w:r>
        <w:rPr>
          <w:rFonts w:ascii="Times New Roman" w:hAnsi="Times New Roman"/>
        </w:rPr>
        <w:t xml:space="preserve"> Статистический ежегодник: Стат. сб. Ханты-Мансийский автономный округ – Югра в 2-х час</w:t>
      </w:r>
      <w:r>
        <w:rPr>
          <w:rFonts w:ascii="Times New Roman" w:hAnsi="Times New Roman"/>
        </w:rPr>
        <w:t xml:space="preserve">тях. Ч II. (2017-2023)/ Управление Федеральной службы государственной статистики по Тюменской области, </w:t>
      </w:r>
      <w:r>
        <w:rPr>
          <w:rFonts w:ascii="Times New Roman" w:hAnsi="Times New Roman"/>
        </w:rPr>
        <w:br/>
        <w:t>Ханты-Мансийскому автономному округу – Югре и Ямало-Ненецкому автономному округу. – Т., 2024.</w:t>
      </w:r>
    </w:p>
  </w:footnote>
  <w:footnote w:id="9">
    <w:p w:rsidR="00DC1467" w:rsidRDefault="00B70D3E">
      <w:pPr>
        <w:pStyle w:val="af"/>
        <w:jc w:val="both"/>
        <w:rPr>
          <w:rFonts w:ascii="Times New Roman" w:hAnsi="Times New Roman"/>
        </w:rPr>
      </w:pPr>
      <w:r>
        <w:rPr>
          <w:rStyle w:val="af1"/>
          <w:rFonts w:ascii="Times New Roman" w:hAnsi="Times New Roman"/>
        </w:rPr>
        <w:footnoteRef/>
      </w:r>
      <w:r>
        <w:rPr>
          <w:rFonts w:ascii="Times New Roman" w:hAnsi="Times New Roman"/>
        </w:rPr>
        <w:t xml:space="preserve"> Основные показатели социально-экономического положения Х</w:t>
      </w:r>
      <w:r>
        <w:rPr>
          <w:rFonts w:ascii="Times New Roman" w:hAnsi="Times New Roman"/>
        </w:rPr>
        <w:t xml:space="preserve">МАО-Югры в январе-сентябре 2024 года [электронный ресурс]. URL:  </w:t>
      </w:r>
      <w:hyperlink r:id="rId6" w:tooltip="https://72.rosstat.gov.ru/news/document/248616" w:history="1">
        <w:r>
          <w:rPr>
            <w:rStyle w:val="aff9"/>
            <w:rFonts w:ascii="Times New Roman" w:hAnsi="Times New Roman"/>
          </w:rPr>
          <w:t>https://72.rosstat.gov.ru/news/document/248616</w:t>
        </w:r>
      </w:hyperlink>
      <w:r>
        <w:rPr>
          <w:rFonts w:ascii="Times New Roman" w:hAnsi="Times New Roman"/>
        </w:rPr>
        <w:t xml:space="preserve"> (дата последнего обращения: 2</w:t>
      </w:r>
      <w:r>
        <w:rPr>
          <w:rFonts w:ascii="Times New Roman" w:hAnsi="Times New Roman"/>
        </w:rPr>
        <w:t>4.02.2025).</w:t>
      </w:r>
    </w:p>
  </w:footnote>
  <w:footnote w:id="10">
    <w:p w:rsidR="00DC1467" w:rsidRDefault="00B70D3E">
      <w:pPr>
        <w:pStyle w:val="af"/>
        <w:jc w:val="both"/>
        <w:rPr>
          <w:rFonts w:ascii="Times New Roman" w:hAnsi="Times New Roman"/>
        </w:rPr>
      </w:pPr>
      <w:r>
        <w:rPr>
          <w:rStyle w:val="af1"/>
          <w:rFonts w:ascii="Times New Roman" w:hAnsi="Times New Roman"/>
        </w:rPr>
        <w:footnoteRef/>
      </w:r>
      <w:r>
        <w:rPr>
          <w:rFonts w:ascii="Times New Roman" w:hAnsi="Times New Roman"/>
        </w:rPr>
        <w:t xml:space="preserve"> Статистический ежегодник: Стат. сб. Ханты-Мансийский автономный округ – Югра в 2-х частях. Ч II. (2017-2023)/ Управление Федеральной службы государственной статистики по Тюменской области, </w:t>
      </w:r>
      <w:r>
        <w:rPr>
          <w:rFonts w:ascii="Times New Roman" w:hAnsi="Times New Roman"/>
        </w:rPr>
        <w:br/>
        <w:t>Ханты-Мансийскому автономному округу – Югре и Ямало-</w:t>
      </w:r>
      <w:r>
        <w:rPr>
          <w:rFonts w:ascii="Times New Roman" w:hAnsi="Times New Roman"/>
        </w:rPr>
        <w:t>Ненецкому автономному округу. – Т., 2024.</w:t>
      </w:r>
    </w:p>
  </w:footnote>
  <w:footnote w:id="11">
    <w:p w:rsidR="00DC1467" w:rsidRDefault="00B70D3E">
      <w:pPr>
        <w:pStyle w:val="af"/>
        <w:jc w:val="both"/>
        <w:rPr>
          <w:rFonts w:ascii="Times New Roman" w:hAnsi="Times New Roman"/>
        </w:rPr>
      </w:pPr>
      <w:r>
        <w:rPr>
          <w:rStyle w:val="af1"/>
          <w:rFonts w:ascii="Times New Roman" w:hAnsi="Times New Roman"/>
        </w:rPr>
        <w:footnoteRef/>
      </w:r>
      <w:r>
        <w:rPr>
          <w:rFonts w:ascii="Times New Roman" w:hAnsi="Times New Roman"/>
        </w:rPr>
        <w:t xml:space="preserve"> Основные показатели социально-экономического положения Ханты-Мансийского автономного </w:t>
      </w:r>
      <w:r>
        <w:rPr>
          <w:rFonts w:ascii="Times New Roman" w:hAnsi="Times New Roman"/>
        </w:rPr>
        <w:br/>
        <w:t xml:space="preserve">округа – Югры в январе-ноябре 2024 года [электронный ресурс]. URL:  </w:t>
      </w:r>
      <w:hyperlink r:id="rId7" w:tooltip="https://72.rosstat.gov.ru/news/document/253227" w:history="1">
        <w:r>
          <w:rPr>
            <w:rStyle w:val="aff9"/>
            <w:rFonts w:ascii="Times New Roman" w:hAnsi="Times New Roman"/>
          </w:rPr>
          <w:t>https://72.rosstat.gov.ru/news/document/253227</w:t>
        </w:r>
      </w:hyperlink>
      <w:r>
        <w:rPr>
          <w:rFonts w:ascii="Times New Roman" w:hAnsi="Times New Roman"/>
        </w:rPr>
        <w:t xml:space="preserve"> (дата последнего обращения: 24.02.2025).</w:t>
      </w:r>
    </w:p>
  </w:footnote>
  <w:footnote w:id="12">
    <w:p w:rsidR="00DC1467" w:rsidRDefault="00B70D3E">
      <w:pPr>
        <w:pStyle w:val="af"/>
        <w:jc w:val="both"/>
        <w:rPr>
          <w:rFonts w:ascii="Times New Roman" w:hAnsi="Times New Roman"/>
        </w:rPr>
      </w:pPr>
      <w:r>
        <w:rPr>
          <w:rStyle w:val="af1"/>
          <w:rFonts w:ascii="Times New Roman" w:hAnsi="Times New Roman"/>
        </w:rPr>
        <w:footnoteRef/>
      </w:r>
      <w:r>
        <w:rPr>
          <w:rFonts w:ascii="Times New Roman" w:hAnsi="Times New Roman"/>
        </w:rPr>
        <w:t xml:space="preserve"> Основные показатели социально-экономического положения ХМАО-Югры в январе-ноябре 2024 года [электронный ресур</w:t>
      </w:r>
      <w:r>
        <w:rPr>
          <w:rFonts w:ascii="Times New Roman" w:hAnsi="Times New Roman"/>
        </w:rPr>
        <w:t xml:space="preserve">с]. URL:  </w:t>
      </w:r>
      <w:hyperlink r:id="rId8" w:tooltip="https://72.rosstat.gov.ru/news/document/253227" w:history="1">
        <w:r>
          <w:rPr>
            <w:rStyle w:val="aff9"/>
            <w:rFonts w:ascii="Times New Roman" w:hAnsi="Times New Roman"/>
          </w:rPr>
          <w:t>https://72.rosstat.gov.ru/news/document/253227</w:t>
        </w:r>
      </w:hyperlink>
      <w:r>
        <w:rPr>
          <w:rFonts w:ascii="Times New Roman" w:hAnsi="Times New Roman"/>
        </w:rPr>
        <w:t xml:space="preserve"> (дата последнего обращения: 24.02.2025).</w:t>
      </w:r>
    </w:p>
  </w:footnote>
  <w:footnote w:id="13">
    <w:p w:rsidR="00DC1467" w:rsidRDefault="00B70D3E">
      <w:pPr>
        <w:pStyle w:val="af"/>
        <w:jc w:val="both"/>
        <w:rPr>
          <w:rFonts w:ascii="Times New Roman" w:hAnsi="Times New Roman"/>
        </w:rPr>
      </w:pPr>
      <w:r>
        <w:rPr>
          <w:rStyle w:val="af1"/>
          <w:rFonts w:ascii="Times New Roman" w:hAnsi="Times New Roman"/>
        </w:rPr>
        <w:footnoteRef/>
      </w:r>
      <w:r>
        <w:rPr>
          <w:rFonts w:ascii="Times New Roman" w:hAnsi="Times New Roman"/>
        </w:rPr>
        <w:t xml:space="preserve"> Статистический ежегодник: Стат. сб. Ханты</w:t>
      </w:r>
      <w:r>
        <w:rPr>
          <w:rFonts w:ascii="Times New Roman" w:hAnsi="Times New Roman"/>
        </w:rPr>
        <w:t xml:space="preserve">-Мансийский автономный округ – Югра в 2-х частях. Ч II. (2017-2023)/ Управление Федеральной службы государственной статистики по Тюменской области, </w:t>
      </w:r>
      <w:r>
        <w:rPr>
          <w:rFonts w:ascii="Times New Roman" w:hAnsi="Times New Roman"/>
        </w:rPr>
        <w:br/>
        <w:t>Ханты-Мансийскому автономному округу – Югре и Ямало-Ненецкому автономному округу. – Т., 2024.</w:t>
      </w:r>
    </w:p>
  </w:footnote>
  <w:footnote w:id="14">
    <w:p w:rsidR="00DC1467" w:rsidRDefault="00B70D3E">
      <w:pPr>
        <w:pStyle w:val="af"/>
        <w:jc w:val="both"/>
        <w:rPr>
          <w:rFonts w:ascii="Times New Roman" w:hAnsi="Times New Roman"/>
        </w:rPr>
      </w:pPr>
      <w:r>
        <w:rPr>
          <w:rStyle w:val="af1"/>
          <w:rFonts w:ascii="Times New Roman" w:hAnsi="Times New Roman"/>
        </w:rPr>
        <w:footnoteRef/>
      </w:r>
      <w:r>
        <w:rPr>
          <w:rFonts w:ascii="Times New Roman" w:hAnsi="Times New Roman"/>
        </w:rPr>
        <w:t xml:space="preserve"> Основные по</w:t>
      </w:r>
      <w:r>
        <w:rPr>
          <w:rFonts w:ascii="Times New Roman" w:hAnsi="Times New Roman"/>
        </w:rPr>
        <w:t xml:space="preserve">казатели социально-экономического положения ХМАО-Югры в январе-ноябре 2024 года [электронный ресурс]. URL:  </w:t>
      </w:r>
      <w:hyperlink r:id="rId9" w:tooltip="https://72.rosstat.gov.ru/news/document/253227" w:history="1">
        <w:r>
          <w:rPr>
            <w:rStyle w:val="aff9"/>
            <w:rFonts w:ascii="Times New Roman" w:hAnsi="Times New Roman"/>
          </w:rPr>
          <w:t>https://72.rosstat.gov.ru/news/document/253227</w:t>
        </w:r>
      </w:hyperlink>
      <w:r>
        <w:rPr>
          <w:rFonts w:ascii="Times New Roman" w:hAnsi="Times New Roman"/>
        </w:rPr>
        <w:t xml:space="preserve"> (дата последнего обращения: 24.02.2025).</w:t>
      </w:r>
    </w:p>
  </w:footnote>
  <w:footnote w:id="15">
    <w:p w:rsidR="00DC1467" w:rsidRDefault="00B70D3E">
      <w:pPr>
        <w:pStyle w:val="af"/>
        <w:jc w:val="both"/>
        <w:rPr>
          <w:rFonts w:ascii="Times New Roman" w:hAnsi="Times New Roman"/>
        </w:rPr>
      </w:pPr>
      <w:r>
        <w:rPr>
          <w:rStyle w:val="af1"/>
          <w:rFonts w:ascii="Times New Roman" w:hAnsi="Times New Roman"/>
        </w:rPr>
        <w:footnoteRef/>
      </w:r>
      <w:r>
        <w:rPr>
          <w:rFonts w:ascii="Times New Roman" w:hAnsi="Times New Roman"/>
        </w:rPr>
        <w:t xml:space="preserve"> Статистический ежегодник: Стат. сб. Ханты-Мансийский автономный округ – Югра в 2-х частях. Ч II. (2017-2023)/ Управление Федеральной службы государственной статистики</w:t>
      </w:r>
      <w:r>
        <w:rPr>
          <w:rFonts w:ascii="Times New Roman" w:hAnsi="Times New Roman"/>
        </w:rPr>
        <w:t xml:space="preserve"> по Тюменской области, </w:t>
      </w:r>
      <w:r>
        <w:rPr>
          <w:rFonts w:ascii="Times New Roman" w:hAnsi="Times New Roman"/>
        </w:rPr>
        <w:br/>
        <w:t>Ханты-Мансийскому автономному округу – Югре и Ямало-Ненецкому автономному округу. – Т., 2024.</w:t>
      </w:r>
    </w:p>
  </w:footnote>
  <w:footnote w:id="16">
    <w:p w:rsidR="00DC1467" w:rsidRDefault="00B70D3E">
      <w:pPr>
        <w:pStyle w:val="af"/>
        <w:jc w:val="both"/>
        <w:rPr>
          <w:rFonts w:ascii="Times New Roman" w:hAnsi="Times New Roman"/>
        </w:rPr>
      </w:pPr>
      <w:r>
        <w:rPr>
          <w:rStyle w:val="af1"/>
          <w:rFonts w:ascii="Times New Roman" w:hAnsi="Times New Roman"/>
        </w:rPr>
        <w:footnoteRef/>
      </w:r>
      <w:r>
        <w:rPr>
          <w:rFonts w:ascii="Times New Roman" w:hAnsi="Times New Roman"/>
        </w:rPr>
        <w:t xml:space="preserve"> Там же.</w:t>
      </w:r>
    </w:p>
  </w:footnote>
  <w:footnote w:id="17">
    <w:p w:rsidR="00DC1467" w:rsidRDefault="00B70D3E">
      <w:pPr>
        <w:pStyle w:val="af"/>
        <w:jc w:val="both"/>
        <w:rPr>
          <w:rFonts w:ascii="Times New Roman" w:hAnsi="Times New Roman"/>
        </w:rPr>
      </w:pPr>
      <w:r>
        <w:rPr>
          <w:rStyle w:val="af1"/>
          <w:rFonts w:ascii="Times New Roman" w:hAnsi="Times New Roman"/>
        </w:rPr>
        <w:footnoteRef/>
      </w:r>
      <w:r>
        <w:rPr>
          <w:rFonts w:ascii="Times New Roman" w:hAnsi="Times New Roman"/>
        </w:rPr>
        <w:t xml:space="preserve"> Статистический ежегодник: Стат. сб. Ханты-Мансийский автономный округ – Югра в 2-х частях. Ч II. (2017-2023)/ Управление Федер</w:t>
      </w:r>
      <w:r>
        <w:rPr>
          <w:rFonts w:ascii="Times New Roman" w:hAnsi="Times New Roman"/>
        </w:rPr>
        <w:t xml:space="preserve">альной службы государственной статистики по Тюменской области, </w:t>
      </w:r>
      <w:r>
        <w:rPr>
          <w:rFonts w:ascii="Times New Roman" w:hAnsi="Times New Roman"/>
        </w:rPr>
        <w:br/>
        <w:t>Ханты-Мансийскому автономному округу – Югре и Ямало-Ненецкому автономному округу. – Т., 2024.</w:t>
      </w:r>
    </w:p>
  </w:footnote>
  <w:footnote w:id="18">
    <w:p w:rsidR="00DC1467" w:rsidRDefault="00B70D3E">
      <w:pPr>
        <w:pStyle w:val="af"/>
        <w:rPr>
          <w:rFonts w:ascii="Times New Roman" w:hAnsi="Times New Roman"/>
        </w:rPr>
      </w:pPr>
      <w:r>
        <w:rPr>
          <w:rStyle w:val="af1"/>
          <w:rFonts w:ascii="Times New Roman" w:hAnsi="Times New Roman"/>
        </w:rPr>
        <w:footnoteRef/>
      </w:r>
      <w:r>
        <w:rPr>
          <w:rFonts w:ascii="Times New Roman" w:hAnsi="Times New Roman"/>
        </w:rPr>
        <w:t xml:space="preserve"> Там же.</w:t>
      </w:r>
    </w:p>
  </w:footnote>
  <w:footnote w:id="19">
    <w:p w:rsidR="00DC1467" w:rsidRDefault="00B70D3E">
      <w:pPr>
        <w:pStyle w:val="af"/>
        <w:jc w:val="both"/>
      </w:pPr>
      <w:r>
        <w:rPr>
          <w:rStyle w:val="af1"/>
        </w:rPr>
        <w:footnoteRef/>
      </w:r>
      <w:r>
        <w:t xml:space="preserve"> </w:t>
      </w:r>
      <w:r>
        <w:rPr>
          <w:rFonts w:ascii="Times New Roman" w:hAnsi="Times New Roman"/>
        </w:rPr>
        <w:t>Статистический ежегодник: Стат. сб. Ханты-Мансийский автономный округ – Югра в 2-х час</w:t>
      </w:r>
      <w:r>
        <w:rPr>
          <w:rFonts w:ascii="Times New Roman" w:hAnsi="Times New Roman"/>
        </w:rPr>
        <w:t xml:space="preserve">тях. Ч II. (2017-2023)/ Управление Федеральной службы государственной статистики по Тюменской области, </w:t>
      </w:r>
      <w:r>
        <w:rPr>
          <w:rFonts w:ascii="Times New Roman" w:hAnsi="Times New Roman"/>
        </w:rPr>
        <w:br/>
        <w:t>Ханты-Мансийскому автономному округу – Югре и Ямало-Ненецкому автономному округу. – Т., 2024.</w:t>
      </w:r>
    </w:p>
  </w:footnote>
  <w:footnote w:id="20">
    <w:p w:rsidR="00DC1467" w:rsidRDefault="00B70D3E">
      <w:pPr>
        <w:pStyle w:val="af"/>
        <w:jc w:val="both"/>
      </w:pPr>
      <w:r>
        <w:rPr>
          <w:rStyle w:val="af1"/>
        </w:rPr>
        <w:footnoteRef/>
      </w:r>
      <w:r>
        <w:t xml:space="preserve"> </w:t>
      </w:r>
      <w:r>
        <w:rPr>
          <w:rFonts w:ascii="Times New Roman" w:hAnsi="Times New Roman"/>
        </w:rPr>
        <w:t>Основные показатели социально-экономического положения Х</w:t>
      </w:r>
      <w:r>
        <w:rPr>
          <w:rFonts w:ascii="Times New Roman" w:hAnsi="Times New Roman"/>
        </w:rPr>
        <w:t xml:space="preserve">МАО-Югры в январе-сентябре 2024 года [электронный ресурс]. URL:  </w:t>
      </w:r>
      <w:hyperlink r:id="rId10" w:tooltip="https://72.rosstat.gov.ru/news/document/248616" w:history="1">
        <w:r>
          <w:rPr>
            <w:rStyle w:val="aff9"/>
            <w:rFonts w:ascii="Times New Roman" w:hAnsi="Times New Roman"/>
          </w:rPr>
          <w:t>https://72.rosstat.gov.ru/news/document/248616</w:t>
        </w:r>
      </w:hyperlink>
      <w:r>
        <w:rPr>
          <w:rFonts w:ascii="Times New Roman" w:hAnsi="Times New Roman"/>
        </w:rPr>
        <w:t xml:space="preserve"> (дата последнего обращения: 2</w:t>
      </w:r>
      <w:r>
        <w:rPr>
          <w:rFonts w:ascii="Times New Roman" w:hAnsi="Times New Roman"/>
        </w:rPr>
        <w:t>4.02.2025).</w:t>
      </w:r>
    </w:p>
  </w:footnote>
  <w:footnote w:id="21">
    <w:p w:rsidR="00DC1467" w:rsidRDefault="00B70D3E">
      <w:pPr>
        <w:pStyle w:val="af"/>
        <w:jc w:val="both"/>
        <w:rPr>
          <w:rFonts w:ascii="Times New Roman" w:hAnsi="Times New Roman"/>
        </w:rPr>
      </w:pPr>
      <w:r>
        <w:rPr>
          <w:rStyle w:val="af1"/>
          <w:rFonts w:ascii="Times New Roman" w:hAnsi="Times New Roman"/>
        </w:rPr>
        <w:footnoteRef/>
      </w:r>
      <w:r>
        <w:rPr>
          <w:rFonts w:ascii="Times New Roman" w:hAnsi="Times New Roman"/>
        </w:rPr>
        <w:t xml:space="preserve"> Статистический ежегодник: Стат. сб. Ханты-Мансийский автономный округ – Югра в 2-х частях. Ч II. (2017-2023)/ Управление Федеральной службы государственной статистики по Тюменской области, </w:t>
      </w:r>
      <w:r>
        <w:rPr>
          <w:rFonts w:ascii="Times New Roman" w:hAnsi="Times New Roman"/>
        </w:rPr>
        <w:br/>
        <w:t>Ханты-Мансийскому автономному округу – Югре и Ямало-</w:t>
      </w:r>
      <w:r>
        <w:rPr>
          <w:rFonts w:ascii="Times New Roman" w:hAnsi="Times New Roman"/>
        </w:rPr>
        <w:t>Ненецкому автономному округу. – Т., 2024.</w:t>
      </w:r>
    </w:p>
  </w:footnote>
  <w:footnote w:id="22">
    <w:p w:rsidR="00DC1467" w:rsidRDefault="00B70D3E">
      <w:pPr>
        <w:pStyle w:val="af"/>
        <w:jc w:val="both"/>
        <w:rPr>
          <w:rFonts w:ascii="Times New Roman" w:hAnsi="Times New Roman"/>
        </w:rPr>
      </w:pPr>
      <w:r>
        <w:rPr>
          <w:rStyle w:val="af1"/>
          <w:rFonts w:ascii="Times New Roman" w:hAnsi="Times New Roman"/>
        </w:rPr>
        <w:footnoteRef/>
      </w:r>
      <w:r>
        <w:rPr>
          <w:rFonts w:ascii="Times New Roman" w:hAnsi="Times New Roman"/>
        </w:rPr>
        <w:t xml:space="preserve"> Основные показатели социально-экономического положения ХМАО-Югры в январе-сентябре 2024 года [электронный ресурс]. URL: </w:t>
      </w:r>
      <w:hyperlink r:id="rId11" w:tooltip="https://72.rosstat.gov.ru/news/document/248616" w:history="1">
        <w:r>
          <w:rPr>
            <w:rStyle w:val="aff9"/>
            <w:rFonts w:ascii="Times New Roman" w:hAnsi="Times New Roman"/>
          </w:rPr>
          <w:t>https://72.rosstat.gov.ru/news/document/248616</w:t>
        </w:r>
      </w:hyperlink>
      <w:r>
        <w:rPr>
          <w:rFonts w:ascii="Times New Roman" w:hAnsi="Times New Roman"/>
        </w:rPr>
        <w:t xml:space="preserve"> (дата последнего обращения: 24.02.2025).</w:t>
      </w:r>
    </w:p>
  </w:footnote>
  <w:footnote w:id="23">
    <w:p w:rsidR="00DC1467" w:rsidRDefault="00B70D3E">
      <w:pPr>
        <w:pStyle w:val="af"/>
        <w:rPr>
          <w:rFonts w:ascii="Times New Roman" w:hAnsi="Times New Roman"/>
        </w:rPr>
      </w:pPr>
      <w:r>
        <w:rPr>
          <w:rStyle w:val="af1"/>
          <w:rFonts w:ascii="Times New Roman" w:hAnsi="Times New Roman"/>
        </w:rPr>
        <w:footnoteRef/>
      </w:r>
      <w:r>
        <w:rPr>
          <w:rFonts w:ascii="Times New Roman" w:hAnsi="Times New Roman"/>
        </w:rPr>
        <w:t xml:space="preserve"> Там же.</w:t>
      </w:r>
    </w:p>
  </w:footnote>
  <w:footnote w:id="24">
    <w:p w:rsidR="00DC1467" w:rsidRDefault="00B70D3E">
      <w:pPr>
        <w:pStyle w:val="af"/>
      </w:pPr>
      <w:r>
        <w:rPr>
          <w:rStyle w:val="af1"/>
        </w:rPr>
        <w:footnoteRef/>
      </w:r>
      <w:r>
        <w:t xml:space="preserve"> </w:t>
      </w:r>
      <w:r>
        <w:rPr>
          <w:rFonts w:ascii="Times New Roman" w:hAnsi="Times New Roman"/>
        </w:rPr>
        <w:t xml:space="preserve">Там же. </w:t>
      </w:r>
    </w:p>
  </w:footnote>
  <w:footnote w:id="25">
    <w:p w:rsidR="00DC1467" w:rsidRDefault="00B70D3E">
      <w:pPr>
        <w:pStyle w:val="af"/>
        <w:jc w:val="both"/>
        <w:rPr>
          <w:rFonts w:ascii="Times New Roman" w:hAnsi="Times New Roman"/>
        </w:rPr>
      </w:pPr>
      <w:r>
        <w:rPr>
          <w:rStyle w:val="af1"/>
          <w:rFonts w:ascii="Times New Roman" w:hAnsi="Times New Roman"/>
        </w:rPr>
        <w:footnoteRef/>
      </w:r>
      <w:r>
        <w:rPr>
          <w:rFonts w:ascii="Times New Roman" w:hAnsi="Times New Roman"/>
        </w:rPr>
        <w:t xml:space="preserve"> Информационно-аналитическая справка за 2024 год Департамента труда и занятости населения </w:t>
      </w:r>
      <w:r>
        <w:rPr>
          <w:rFonts w:ascii="Times New Roman" w:hAnsi="Times New Roman"/>
        </w:rPr>
        <w:br/>
        <w:t>Ханты-Мансийского автономного ок</w:t>
      </w:r>
      <w:r>
        <w:rPr>
          <w:rFonts w:ascii="Times New Roman" w:hAnsi="Times New Roman"/>
        </w:rPr>
        <w:t>руга – Югры от 17.01.2025, Исх. 17-Исх-211.</w:t>
      </w:r>
    </w:p>
  </w:footnote>
  <w:footnote w:id="26">
    <w:p w:rsidR="00DC1467" w:rsidRDefault="00B70D3E">
      <w:pPr>
        <w:pStyle w:val="1"/>
        <w:shd w:val="clear" w:color="auto" w:fill="FFFFFF"/>
        <w:spacing w:before="0" w:line="240" w:lineRule="auto"/>
        <w:jc w:val="both"/>
        <w:rPr>
          <w:rFonts w:ascii="Times New Roman" w:hAnsi="Times New Roman"/>
        </w:rPr>
      </w:pPr>
      <w:r>
        <w:rPr>
          <w:rStyle w:val="af1"/>
          <w:rFonts w:ascii="Times New Roman" w:hAnsi="Times New Roman"/>
          <w:b w:val="0"/>
          <w:sz w:val="20"/>
          <w:szCs w:val="20"/>
        </w:rPr>
        <w:footnoteRef/>
      </w:r>
      <w:r>
        <w:rPr>
          <w:rFonts w:ascii="Times New Roman" w:hAnsi="Times New Roman"/>
          <w:b w:val="0"/>
          <w:sz w:val="20"/>
          <w:szCs w:val="20"/>
        </w:rPr>
        <w:t xml:space="preserve"> Численность и миграция населения Российской Федерации в 2023 году. Стат. бюл. / Росстат. 2024.</w:t>
      </w:r>
    </w:p>
  </w:footnote>
  <w:footnote w:id="27">
    <w:p w:rsidR="00DC1467" w:rsidRDefault="00B70D3E">
      <w:pPr>
        <w:pStyle w:val="af"/>
        <w:jc w:val="both"/>
        <w:rPr>
          <w:rFonts w:ascii="Times New Roman" w:hAnsi="Times New Roman"/>
        </w:rPr>
      </w:pPr>
      <w:r>
        <w:rPr>
          <w:rStyle w:val="af1"/>
          <w:rFonts w:ascii="Times New Roman" w:hAnsi="Times New Roman"/>
        </w:rPr>
        <w:footnoteRef/>
      </w:r>
      <w:r>
        <w:rPr>
          <w:rFonts w:ascii="Times New Roman" w:hAnsi="Times New Roman"/>
        </w:rPr>
        <w:t xml:space="preserve"> Информационный демографический бюллетень «О состоянии демографической ситуации </w:t>
      </w:r>
      <w:r>
        <w:rPr>
          <w:rFonts w:ascii="Times New Roman" w:hAnsi="Times New Roman"/>
        </w:rPr>
        <w:br/>
      </w:r>
      <w:r>
        <w:rPr>
          <w:rFonts w:ascii="Times New Roman" w:hAnsi="Times New Roman"/>
        </w:rPr>
        <w:t>в Ханты-Мансийском автономном округе – Югре в 2023 году». – Ханты-Мансийск: 2024.</w:t>
      </w:r>
    </w:p>
  </w:footnote>
  <w:footnote w:id="28">
    <w:p w:rsidR="00DC1467" w:rsidRDefault="00B70D3E">
      <w:pPr>
        <w:pStyle w:val="af"/>
        <w:jc w:val="both"/>
        <w:rPr>
          <w:rFonts w:ascii="Times New Roman" w:hAnsi="Times New Roman"/>
        </w:rPr>
      </w:pPr>
      <w:r>
        <w:rPr>
          <w:rStyle w:val="af1"/>
          <w:rFonts w:ascii="Times New Roman" w:hAnsi="Times New Roman"/>
        </w:rPr>
        <w:footnoteRef/>
      </w:r>
      <w:r>
        <w:rPr>
          <w:rFonts w:ascii="Times New Roman" w:hAnsi="Times New Roman"/>
        </w:rPr>
        <w:t xml:space="preserve"> Здесь и далее динамика РФ и УрФО приведена в сравнении с 2022 годом. Сведения за 2023 год по РФ </w:t>
      </w:r>
      <w:r>
        <w:rPr>
          <w:rFonts w:ascii="Times New Roman" w:hAnsi="Times New Roman"/>
        </w:rPr>
        <w:br/>
        <w:t>и УрФО не публиковались.</w:t>
      </w:r>
    </w:p>
    <w:p w:rsidR="00DC1467" w:rsidRDefault="00DC1467"/>
  </w:footnote>
  <w:footnote w:id="29">
    <w:p w:rsidR="00DC1467" w:rsidRDefault="00B70D3E">
      <w:pPr>
        <w:pStyle w:val="af"/>
        <w:jc w:val="both"/>
        <w:rPr>
          <w:rFonts w:ascii="Times New Roman" w:hAnsi="Times New Roman"/>
        </w:rPr>
      </w:pPr>
      <w:r>
        <w:rPr>
          <w:rStyle w:val="af1"/>
          <w:rFonts w:ascii="Times New Roman" w:hAnsi="Times New Roman"/>
        </w:rPr>
        <w:footnoteRef/>
      </w:r>
      <w:r>
        <w:rPr>
          <w:rFonts w:ascii="Times New Roman" w:hAnsi="Times New Roman"/>
        </w:rPr>
        <w:t xml:space="preserve"> Приказ Министерства здравоохранения РФ от 30 ию</w:t>
      </w:r>
      <w:r>
        <w:rPr>
          <w:rFonts w:ascii="Times New Roman" w:hAnsi="Times New Roman"/>
        </w:rPr>
        <w:t>ля 2019 г. № 573н «О внесении изменений в приложения № 1 и 2 к приказу Министерства здравоохранения Российской Федерации от 30 декабря 2015 г. № 1034н «Об утверждении Порядка оказания медицинской помощи по профилю «психиатрия-наркология» и Порядка диспансе</w:t>
      </w:r>
      <w:r>
        <w:rPr>
          <w:rFonts w:ascii="Times New Roman" w:hAnsi="Times New Roman"/>
        </w:rPr>
        <w:t>рного наблюдения за лицами с психическими расстройствами и (или) расстройствами поведения, связанными с употреблением психоактивных веществ».</w:t>
      </w:r>
    </w:p>
  </w:footnote>
  <w:footnote w:id="30">
    <w:p w:rsidR="00DC1467" w:rsidRDefault="00B70D3E">
      <w:pPr>
        <w:pStyle w:val="af"/>
        <w:rPr>
          <w:rFonts w:ascii="Times New Roman" w:hAnsi="Times New Roman"/>
        </w:rPr>
      </w:pPr>
      <w:r>
        <w:rPr>
          <w:rStyle w:val="af1"/>
          <w:rFonts w:ascii="Times New Roman" w:hAnsi="Times New Roman"/>
        </w:rPr>
        <w:footnoteRef/>
      </w:r>
      <w:r>
        <w:rPr>
          <w:rFonts w:ascii="Times New Roman" w:hAnsi="Times New Roman"/>
        </w:rPr>
        <w:t xml:space="preserve"> Здесь и далее – АППГ – аналогичный показатель предыдущего года.</w:t>
      </w:r>
    </w:p>
  </w:footnote>
  <w:footnote w:id="31">
    <w:p w:rsidR="00DC1467" w:rsidRDefault="00B70D3E">
      <w:pPr>
        <w:pStyle w:val="af"/>
        <w:jc w:val="both"/>
      </w:pPr>
      <w:r>
        <w:rPr>
          <w:rStyle w:val="af1"/>
        </w:rPr>
        <w:footnoteRef/>
      </w:r>
      <w:r>
        <w:t xml:space="preserve"> </w:t>
      </w:r>
      <w:r>
        <w:rPr>
          <w:rFonts w:ascii="Times New Roman" w:hAnsi="Times New Roman"/>
        </w:rPr>
        <w:t>Утвержден приказом Министерства здравоохранени</w:t>
      </w:r>
      <w:r>
        <w:rPr>
          <w:rFonts w:ascii="Times New Roman" w:hAnsi="Times New Roman"/>
        </w:rPr>
        <w:t>я РФ от 30.12.2015 № 1034н «Об утверждении Порядка оказания медицинской помощи по профилю «психиатрия-наркология» и Порядка диспансерного наблюдения за лицами с психическими расстройствами и (или) расстройствами поведения, связанными с употреблением психоа</w:t>
      </w:r>
      <w:r>
        <w:rPr>
          <w:rFonts w:ascii="Times New Roman" w:hAnsi="Times New Roman"/>
        </w:rPr>
        <w:t>ктивных веществ»</w:t>
      </w:r>
    </w:p>
  </w:footnote>
  <w:footnote w:id="32">
    <w:p w:rsidR="00DC1467" w:rsidRDefault="00B70D3E">
      <w:pPr>
        <w:pStyle w:val="af"/>
      </w:pPr>
      <w:r>
        <w:rPr>
          <w:rStyle w:val="af1"/>
        </w:rPr>
        <w:footnoteRef/>
      </w:r>
      <w:r>
        <w:t xml:space="preserve"> </w:t>
      </w:r>
      <w:r>
        <w:rPr>
          <w:rFonts w:ascii="Times New Roman" w:hAnsi="Times New Roman"/>
        </w:rPr>
        <w:t>Тот же</w:t>
      </w:r>
      <w:r>
        <w:t>.</w:t>
      </w:r>
    </w:p>
  </w:footnote>
  <w:footnote w:id="33">
    <w:p w:rsidR="00DC1467" w:rsidRDefault="00B70D3E">
      <w:pPr>
        <w:pStyle w:val="af"/>
        <w:rPr>
          <w:rFonts w:ascii="Times New Roman" w:hAnsi="Times New Roman"/>
        </w:rPr>
      </w:pPr>
      <w:r>
        <w:rPr>
          <w:rStyle w:val="af1"/>
          <w:rFonts w:ascii="Times New Roman" w:hAnsi="Times New Roman"/>
        </w:rPr>
        <w:footnoteRef/>
      </w:r>
      <w:r>
        <w:rPr>
          <w:rFonts w:ascii="Times New Roman" w:hAnsi="Times New Roman"/>
        </w:rPr>
        <w:t xml:space="preserve"> http://совцентр.рф</w:t>
      </w:r>
    </w:p>
  </w:footnote>
  <w:footnote w:id="34">
    <w:p w:rsidR="00DC1467" w:rsidRDefault="00B70D3E">
      <w:pPr>
        <w:pStyle w:val="af"/>
        <w:rPr>
          <w:rFonts w:ascii="Times New Roman" w:hAnsi="Times New Roman"/>
        </w:rPr>
      </w:pPr>
      <w:r>
        <w:rPr>
          <w:rStyle w:val="af1"/>
          <w:rFonts w:ascii="Times New Roman" w:hAnsi="Times New Roman"/>
        </w:rPr>
        <w:footnoteRef/>
      </w:r>
      <w:r>
        <w:rPr>
          <w:rFonts w:ascii="Times New Roman" w:hAnsi="Times New Roman"/>
        </w:rPr>
        <w:t xml:space="preserve"> https://depsr.admhmao.ru/sotsialnoe-obsluzhivanie-naseleniya/antinarkoticheskaya-</w:t>
      </w:r>
      <w:r>
        <w:rPr>
          <w:rFonts w:ascii="Times New Roman" w:hAnsi="Times New Roman"/>
          <w:lang w:val="en-US"/>
        </w:rPr>
        <w:t>deyatelnost</w:t>
      </w:r>
      <w:r>
        <w:rPr>
          <w:rFonts w:ascii="Times New Roman" w:hAnsi="Times New Roman"/>
        </w:rPr>
        <w:t>/1085018/</w:t>
      </w:r>
      <w:r>
        <w:rPr>
          <w:rFonts w:ascii="Times New Roman" w:hAnsi="Times New Roman"/>
          <w:lang w:val="en-US"/>
        </w:rPr>
        <w:t>reestr</w:t>
      </w:r>
      <w:r>
        <w:rPr>
          <w:rFonts w:ascii="Times New Roman" w:hAnsi="Times New Roman"/>
        </w:rPr>
        <w:t>-</w:t>
      </w:r>
      <w:r>
        <w:rPr>
          <w:rFonts w:ascii="Times New Roman" w:hAnsi="Times New Roman"/>
          <w:lang w:val="en-US"/>
        </w:rPr>
        <w:t>negosudarstvennykh</w:t>
      </w:r>
      <w:r>
        <w:rPr>
          <w:rFonts w:ascii="Times New Roman" w:hAnsi="Times New Roman"/>
        </w:rPr>
        <w:t>-</w:t>
      </w:r>
      <w:r>
        <w:rPr>
          <w:rFonts w:ascii="Times New Roman" w:hAnsi="Times New Roman"/>
          <w:lang w:val="en-US"/>
        </w:rPr>
        <w:t>organizatsiy</w:t>
      </w:r>
      <w:r>
        <w:rPr>
          <w:rFonts w:ascii="Times New Roman" w:hAnsi="Times New Roman"/>
        </w:rPr>
        <w:t>-</w:t>
      </w:r>
      <w:r>
        <w:rPr>
          <w:rFonts w:ascii="Times New Roman" w:hAnsi="Times New Roman"/>
          <w:lang w:val="en-US"/>
        </w:rPr>
        <w:t>osushchestvlyayushchikh</w:t>
      </w:r>
      <w:r>
        <w:rPr>
          <w:rFonts w:ascii="Times New Roman" w:hAnsi="Times New Roman"/>
        </w:rPr>
        <w:t>-</w:t>
      </w:r>
      <w:r>
        <w:rPr>
          <w:rFonts w:ascii="Times New Roman" w:hAnsi="Times New Roman"/>
          <w:lang w:val="en-US"/>
        </w:rPr>
        <w:t>kompleksnuyu</w:t>
      </w:r>
      <w:r>
        <w:rPr>
          <w:rFonts w:ascii="Times New Roman" w:hAnsi="Times New Roman"/>
        </w:rPr>
        <w:t>-reabilitatsiyu-i-resotsi/</w:t>
      </w:r>
    </w:p>
  </w:footnote>
  <w:footnote w:id="35">
    <w:p w:rsidR="00DC1467" w:rsidRDefault="00B70D3E">
      <w:pPr>
        <w:pStyle w:val="af"/>
        <w:rPr>
          <w:rFonts w:ascii="Times New Roman" w:hAnsi="Times New Roman"/>
        </w:rPr>
      </w:pPr>
      <w:r>
        <w:rPr>
          <w:rStyle w:val="af1"/>
          <w:rFonts w:ascii="Times New Roman" w:hAnsi="Times New Roman"/>
        </w:rPr>
        <w:footnoteRef/>
      </w:r>
      <w:r>
        <w:rPr>
          <w:rFonts w:ascii="Times New Roman" w:hAnsi="Times New Roman"/>
        </w:rPr>
        <w:t xml:space="preserve"> https://феникснв.рф/</w:t>
      </w:r>
    </w:p>
  </w:footnote>
  <w:footnote w:id="36">
    <w:p w:rsidR="00DC1467" w:rsidRDefault="00B70D3E">
      <w:pPr>
        <w:pStyle w:val="af"/>
        <w:rPr>
          <w:rFonts w:ascii="Times New Roman" w:hAnsi="Times New Roman"/>
        </w:rPr>
      </w:pPr>
      <w:r>
        <w:rPr>
          <w:rStyle w:val="af1"/>
          <w:rFonts w:ascii="Times New Roman" w:hAnsi="Times New Roman"/>
        </w:rPr>
        <w:footnoteRef/>
      </w:r>
      <w:r>
        <w:rPr>
          <w:rFonts w:ascii="Times New Roman" w:hAnsi="Times New Roman"/>
        </w:rPr>
        <w:t xml:space="preserve"> https://чистыйпуть.рус/</w:t>
      </w:r>
    </w:p>
  </w:footnote>
  <w:footnote w:id="37">
    <w:p w:rsidR="00DC1467" w:rsidRDefault="00B70D3E">
      <w:pPr>
        <w:pStyle w:val="af"/>
        <w:rPr>
          <w:rFonts w:ascii="Times New Roman" w:hAnsi="Times New Roman"/>
        </w:rPr>
      </w:pPr>
      <w:r>
        <w:rPr>
          <w:rStyle w:val="af1"/>
          <w:rFonts w:ascii="Times New Roman" w:hAnsi="Times New Roman"/>
        </w:rPr>
        <w:footnoteRef/>
      </w:r>
      <w:r>
        <w:rPr>
          <w:rFonts w:ascii="Times New Roman" w:hAnsi="Times New Roman"/>
        </w:rPr>
        <w:t xml:space="preserve"> https://favor86.ru/</w:t>
      </w:r>
    </w:p>
  </w:footnote>
  <w:footnote w:id="38">
    <w:p w:rsidR="00DC1467" w:rsidRDefault="00B70D3E">
      <w:pPr>
        <w:pStyle w:val="af"/>
        <w:rPr>
          <w:rFonts w:ascii="Times New Roman" w:hAnsi="Times New Roman"/>
        </w:rPr>
      </w:pPr>
      <w:r>
        <w:rPr>
          <w:rStyle w:val="af1"/>
          <w:rFonts w:ascii="Times New Roman" w:hAnsi="Times New Roman"/>
        </w:rPr>
        <w:footnoteRef/>
      </w:r>
      <w:r>
        <w:rPr>
          <w:rFonts w:ascii="Times New Roman" w:hAnsi="Times New Roman"/>
        </w:rPr>
        <w:t xml:space="preserve"> https://fondvefil.nethouse.ru/</w:t>
      </w:r>
    </w:p>
  </w:footnote>
  <w:footnote w:id="39">
    <w:p w:rsidR="00DC1467" w:rsidRDefault="00B70D3E">
      <w:pPr>
        <w:pStyle w:val="af"/>
        <w:rPr>
          <w:rFonts w:ascii="Times New Roman" w:hAnsi="Times New Roman"/>
        </w:rPr>
      </w:pPr>
      <w:r>
        <w:rPr>
          <w:rStyle w:val="af1"/>
          <w:rFonts w:ascii="Times New Roman" w:hAnsi="Times New Roman"/>
        </w:rPr>
        <w:footnoteRef/>
      </w:r>
      <w:r>
        <w:rPr>
          <w:rFonts w:ascii="Times New Roman" w:hAnsi="Times New Roman"/>
        </w:rPr>
        <w:t xml:space="preserve"> Здесь и далее – п.г. – прошлый год.</w:t>
      </w:r>
    </w:p>
  </w:footnote>
  <w:footnote w:id="40">
    <w:p w:rsidR="00DC1467" w:rsidRDefault="00B70D3E">
      <w:pPr>
        <w:pStyle w:val="af"/>
        <w:ind w:firstLine="709"/>
        <w:jc w:val="both"/>
        <w:rPr>
          <w:rFonts w:ascii="Times New Roman" w:hAnsi="Times New Roman"/>
        </w:rPr>
      </w:pPr>
      <w:r>
        <w:rPr>
          <w:rStyle w:val="af1"/>
          <w:rFonts w:ascii="Times New Roman" w:hAnsi="Times New Roman"/>
        </w:rPr>
        <w:footnoteRef/>
      </w:r>
      <w:r>
        <w:rPr>
          <w:rFonts w:ascii="Times New Roman" w:hAnsi="Times New Roman"/>
        </w:rPr>
        <w:t xml:space="preserve"> Методические рекомендации подготовлены в рамках реализации государственного задания ФГБУ «Центр защиты прав и инт</w:t>
      </w:r>
      <w:r>
        <w:rPr>
          <w:rFonts w:ascii="Times New Roman" w:hAnsi="Times New Roman"/>
        </w:rPr>
        <w:t>ересов детей» на 2024 год.</w:t>
      </w:r>
    </w:p>
  </w:footnote>
  <w:footnote w:id="41">
    <w:p w:rsidR="00DC1467" w:rsidRDefault="00B70D3E">
      <w:pPr>
        <w:pStyle w:val="af"/>
        <w:jc w:val="both"/>
        <w:rPr>
          <w:rFonts w:ascii="Times New Roman" w:hAnsi="Times New Roman"/>
        </w:rPr>
      </w:pPr>
      <w:r>
        <w:rPr>
          <w:rStyle w:val="af1"/>
          <w:rFonts w:ascii="Times New Roman" w:hAnsi="Times New Roman"/>
        </w:rPr>
        <w:footnoteRef/>
      </w:r>
      <w:r>
        <w:rPr>
          <w:rFonts w:ascii="Times New Roman" w:hAnsi="Times New Roman"/>
        </w:rPr>
        <w:t xml:space="preserve"> Форма № 6-МВ-НОН «Сведения о лицах, осужденных за преступления, связанные с незаконным оборотом наркотических средств, психотропных веществ и их прекурсоров или аналогов, сильнодействующих веществ, растений (либо их частей), со</w:t>
      </w:r>
      <w:r>
        <w:rPr>
          <w:rFonts w:ascii="Times New Roman" w:hAnsi="Times New Roman"/>
        </w:rPr>
        <w:t>держащих наркотические средства или психотропные вещества либо их прекурсоры, новых потенциально опасных психоактивных веществ», утвержденная приказом Судебного департамента при Верховном Суде Российской Федерации от 11 апреля 2017 года № 65.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1467" w:rsidRDefault="00DC1467">
    <w:pPr>
      <w:pStyle w:val="aff"/>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1467" w:rsidRDefault="00DC1467">
    <w:pPr>
      <w:pStyle w:val="aff"/>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1467" w:rsidRDefault="00DC1467">
    <w:pPr>
      <w:pStyle w:val="aff"/>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1467" w:rsidRDefault="00DC1467">
    <w:pPr>
      <w:pStyle w:val="aff"/>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1467" w:rsidRDefault="00DC1467">
    <w:pPr>
      <w:pStyle w:val="aff"/>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1467" w:rsidRDefault="00DC1467">
    <w:pPr>
      <w:pStyle w:val="af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7421DB"/>
    <w:multiLevelType w:val="hybridMultilevel"/>
    <w:tmpl w:val="001EC376"/>
    <w:lvl w:ilvl="0" w:tplc="2E76B56E">
      <w:start w:val="1"/>
      <w:numFmt w:val="decimal"/>
      <w:lvlText w:val="%1)"/>
      <w:lvlJc w:val="left"/>
      <w:pPr>
        <w:ind w:left="1102" w:hanging="360"/>
      </w:pPr>
      <w:rPr>
        <w:rFonts w:hint="default"/>
      </w:rPr>
    </w:lvl>
    <w:lvl w:ilvl="1" w:tplc="B4FE0EC2">
      <w:start w:val="1"/>
      <w:numFmt w:val="lowerLetter"/>
      <w:lvlText w:val="%2."/>
      <w:lvlJc w:val="left"/>
      <w:pPr>
        <w:ind w:left="1822" w:hanging="360"/>
      </w:pPr>
    </w:lvl>
    <w:lvl w:ilvl="2" w:tplc="A5EE49EC">
      <w:start w:val="1"/>
      <w:numFmt w:val="lowerRoman"/>
      <w:lvlText w:val="%3."/>
      <w:lvlJc w:val="right"/>
      <w:pPr>
        <w:ind w:left="2542" w:hanging="180"/>
      </w:pPr>
    </w:lvl>
    <w:lvl w:ilvl="3" w:tplc="36C22A28">
      <w:start w:val="1"/>
      <w:numFmt w:val="decimal"/>
      <w:lvlText w:val="%4."/>
      <w:lvlJc w:val="left"/>
      <w:pPr>
        <w:ind w:left="3262" w:hanging="360"/>
      </w:pPr>
    </w:lvl>
    <w:lvl w:ilvl="4" w:tplc="8C28420C">
      <w:start w:val="1"/>
      <w:numFmt w:val="lowerLetter"/>
      <w:lvlText w:val="%5."/>
      <w:lvlJc w:val="left"/>
      <w:pPr>
        <w:ind w:left="3982" w:hanging="360"/>
      </w:pPr>
    </w:lvl>
    <w:lvl w:ilvl="5" w:tplc="404AA35A">
      <w:start w:val="1"/>
      <w:numFmt w:val="lowerRoman"/>
      <w:lvlText w:val="%6."/>
      <w:lvlJc w:val="right"/>
      <w:pPr>
        <w:ind w:left="4702" w:hanging="180"/>
      </w:pPr>
    </w:lvl>
    <w:lvl w:ilvl="6" w:tplc="4B18493C">
      <w:start w:val="1"/>
      <w:numFmt w:val="decimal"/>
      <w:lvlText w:val="%7."/>
      <w:lvlJc w:val="left"/>
      <w:pPr>
        <w:ind w:left="5422" w:hanging="360"/>
      </w:pPr>
    </w:lvl>
    <w:lvl w:ilvl="7" w:tplc="F0F0E60C">
      <w:start w:val="1"/>
      <w:numFmt w:val="lowerLetter"/>
      <w:lvlText w:val="%8."/>
      <w:lvlJc w:val="left"/>
      <w:pPr>
        <w:ind w:left="6142" w:hanging="360"/>
      </w:pPr>
    </w:lvl>
    <w:lvl w:ilvl="8" w:tplc="14903254">
      <w:start w:val="1"/>
      <w:numFmt w:val="lowerRoman"/>
      <w:lvlText w:val="%9."/>
      <w:lvlJc w:val="right"/>
      <w:pPr>
        <w:ind w:left="6862" w:hanging="180"/>
      </w:pPr>
    </w:lvl>
  </w:abstractNum>
  <w:abstractNum w:abstractNumId="1">
    <w:nsid w:val="07CE1B89"/>
    <w:multiLevelType w:val="hybridMultilevel"/>
    <w:tmpl w:val="00BCA67A"/>
    <w:lvl w:ilvl="0" w:tplc="33F830DE">
      <w:start w:val="1"/>
      <w:numFmt w:val="bullet"/>
      <w:lvlText w:val=""/>
      <w:lvlJc w:val="left"/>
      <w:pPr>
        <w:ind w:left="1429" w:hanging="360"/>
      </w:pPr>
      <w:rPr>
        <w:rFonts w:ascii="Symbol" w:hAnsi="Symbol" w:hint="default"/>
      </w:rPr>
    </w:lvl>
    <w:lvl w:ilvl="1" w:tplc="015EE058">
      <w:start w:val="1"/>
      <w:numFmt w:val="bullet"/>
      <w:lvlText w:val="o"/>
      <w:lvlJc w:val="left"/>
      <w:pPr>
        <w:ind w:left="2149" w:hanging="360"/>
      </w:pPr>
      <w:rPr>
        <w:rFonts w:ascii="Courier New" w:hAnsi="Courier New" w:cs="Courier New" w:hint="default"/>
      </w:rPr>
    </w:lvl>
    <w:lvl w:ilvl="2" w:tplc="122C8C66">
      <w:start w:val="1"/>
      <w:numFmt w:val="bullet"/>
      <w:lvlText w:val=""/>
      <w:lvlJc w:val="left"/>
      <w:pPr>
        <w:ind w:left="2869" w:hanging="360"/>
      </w:pPr>
      <w:rPr>
        <w:rFonts w:ascii="Wingdings" w:hAnsi="Wingdings" w:hint="default"/>
      </w:rPr>
    </w:lvl>
    <w:lvl w:ilvl="3" w:tplc="8FC294F0">
      <w:start w:val="1"/>
      <w:numFmt w:val="bullet"/>
      <w:lvlText w:val=""/>
      <w:lvlJc w:val="left"/>
      <w:pPr>
        <w:ind w:left="3589" w:hanging="360"/>
      </w:pPr>
      <w:rPr>
        <w:rFonts w:ascii="Symbol" w:hAnsi="Symbol" w:hint="default"/>
      </w:rPr>
    </w:lvl>
    <w:lvl w:ilvl="4" w:tplc="45C4CED0">
      <w:start w:val="1"/>
      <w:numFmt w:val="bullet"/>
      <w:lvlText w:val="o"/>
      <w:lvlJc w:val="left"/>
      <w:pPr>
        <w:ind w:left="4309" w:hanging="360"/>
      </w:pPr>
      <w:rPr>
        <w:rFonts w:ascii="Courier New" w:hAnsi="Courier New" w:cs="Courier New" w:hint="default"/>
      </w:rPr>
    </w:lvl>
    <w:lvl w:ilvl="5" w:tplc="7BE0D9A2">
      <w:start w:val="1"/>
      <w:numFmt w:val="bullet"/>
      <w:lvlText w:val=""/>
      <w:lvlJc w:val="left"/>
      <w:pPr>
        <w:ind w:left="5029" w:hanging="360"/>
      </w:pPr>
      <w:rPr>
        <w:rFonts w:ascii="Wingdings" w:hAnsi="Wingdings" w:hint="default"/>
      </w:rPr>
    </w:lvl>
    <w:lvl w:ilvl="6" w:tplc="DF44D178">
      <w:start w:val="1"/>
      <w:numFmt w:val="bullet"/>
      <w:lvlText w:val=""/>
      <w:lvlJc w:val="left"/>
      <w:pPr>
        <w:ind w:left="5749" w:hanging="360"/>
      </w:pPr>
      <w:rPr>
        <w:rFonts w:ascii="Symbol" w:hAnsi="Symbol" w:hint="default"/>
      </w:rPr>
    </w:lvl>
    <w:lvl w:ilvl="7" w:tplc="86749692">
      <w:start w:val="1"/>
      <w:numFmt w:val="bullet"/>
      <w:lvlText w:val="o"/>
      <w:lvlJc w:val="left"/>
      <w:pPr>
        <w:ind w:left="6469" w:hanging="360"/>
      </w:pPr>
      <w:rPr>
        <w:rFonts w:ascii="Courier New" w:hAnsi="Courier New" w:cs="Courier New" w:hint="default"/>
      </w:rPr>
    </w:lvl>
    <w:lvl w:ilvl="8" w:tplc="FD9E4F32">
      <w:start w:val="1"/>
      <w:numFmt w:val="bullet"/>
      <w:lvlText w:val=""/>
      <w:lvlJc w:val="left"/>
      <w:pPr>
        <w:ind w:left="7189" w:hanging="360"/>
      </w:pPr>
      <w:rPr>
        <w:rFonts w:ascii="Wingdings" w:hAnsi="Wingdings" w:hint="default"/>
      </w:rPr>
    </w:lvl>
  </w:abstractNum>
  <w:abstractNum w:abstractNumId="2">
    <w:nsid w:val="0B021009"/>
    <w:multiLevelType w:val="hybridMultilevel"/>
    <w:tmpl w:val="DED08AFC"/>
    <w:lvl w:ilvl="0" w:tplc="46409388">
      <w:start w:val="1"/>
      <w:numFmt w:val="decimal"/>
      <w:lvlText w:val="%1."/>
      <w:lvlJc w:val="left"/>
      <w:pPr>
        <w:ind w:left="720" w:hanging="360"/>
      </w:pPr>
      <w:rPr>
        <w:rFonts w:hint="default"/>
        <w:color w:val="000000"/>
      </w:rPr>
    </w:lvl>
    <w:lvl w:ilvl="1" w:tplc="4D46CBBC">
      <w:start w:val="1"/>
      <w:numFmt w:val="lowerLetter"/>
      <w:lvlText w:val="%2."/>
      <w:lvlJc w:val="left"/>
      <w:pPr>
        <w:ind w:left="1440" w:hanging="360"/>
      </w:pPr>
    </w:lvl>
    <w:lvl w:ilvl="2" w:tplc="8ECCB68C">
      <w:start w:val="1"/>
      <w:numFmt w:val="lowerRoman"/>
      <w:lvlText w:val="%3."/>
      <w:lvlJc w:val="right"/>
      <w:pPr>
        <w:ind w:left="2160" w:hanging="180"/>
      </w:pPr>
    </w:lvl>
    <w:lvl w:ilvl="3" w:tplc="AFDE58D6">
      <w:start w:val="1"/>
      <w:numFmt w:val="decimal"/>
      <w:lvlText w:val="%4."/>
      <w:lvlJc w:val="left"/>
      <w:pPr>
        <w:ind w:left="2880" w:hanging="360"/>
      </w:pPr>
    </w:lvl>
    <w:lvl w:ilvl="4" w:tplc="9A32FF94">
      <w:start w:val="1"/>
      <w:numFmt w:val="lowerLetter"/>
      <w:lvlText w:val="%5."/>
      <w:lvlJc w:val="left"/>
      <w:pPr>
        <w:ind w:left="3600" w:hanging="360"/>
      </w:pPr>
    </w:lvl>
    <w:lvl w:ilvl="5" w:tplc="8AA680E4">
      <w:start w:val="1"/>
      <w:numFmt w:val="lowerRoman"/>
      <w:lvlText w:val="%6."/>
      <w:lvlJc w:val="right"/>
      <w:pPr>
        <w:ind w:left="4320" w:hanging="180"/>
      </w:pPr>
    </w:lvl>
    <w:lvl w:ilvl="6" w:tplc="257A2BBE">
      <w:start w:val="1"/>
      <w:numFmt w:val="decimal"/>
      <w:lvlText w:val="%7."/>
      <w:lvlJc w:val="left"/>
      <w:pPr>
        <w:ind w:left="5040" w:hanging="360"/>
      </w:pPr>
    </w:lvl>
    <w:lvl w:ilvl="7" w:tplc="74541E28">
      <w:start w:val="1"/>
      <w:numFmt w:val="lowerLetter"/>
      <w:lvlText w:val="%8."/>
      <w:lvlJc w:val="left"/>
      <w:pPr>
        <w:ind w:left="5760" w:hanging="360"/>
      </w:pPr>
    </w:lvl>
    <w:lvl w:ilvl="8" w:tplc="35325072">
      <w:start w:val="1"/>
      <w:numFmt w:val="lowerRoman"/>
      <w:lvlText w:val="%9."/>
      <w:lvlJc w:val="right"/>
      <w:pPr>
        <w:ind w:left="6480" w:hanging="180"/>
      </w:pPr>
    </w:lvl>
  </w:abstractNum>
  <w:abstractNum w:abstractNumId="3">
    <w:nsid w:val="0C96023B"/>
    <w:multiLevelType w:val="hybridMultilevel"/>
    <w:tmpl w:val="78667380"/>
    <w:lvl w:ilvl="0" w:tplc="8A10FC48">
      <w:start w:val="1"/>
      <w:numFmt w:val="decimal"/>
      <w:lvlText w:val="%1."/>
      <w:lvlJc w:val="left"/>
      <w:pPr>
        <w:ind w:left="1571" w:hanging="360"/>
      </w:pPr>
    </w:lvl>
    <w:lvl w:ilvl="1" w:tplc="21E25E04">
      <w:start w:val="1"/>
      <w:numFmt w:val="lowerLetter"/>
      <w:lvlText w:val="%2."/>
      <w:lvlJc w:val="left"/>
      <w:pPr>
        <w:ind w:left="2291" w:hanging="360"/>
      </w:pPr>
    </w:lvl>
    <w:lvl w:ilvl="2" w:tplc="4BB256A0">
      <w:start w:val="1"/>
      <w:numFmt w:val="lowerRoman"/>
      <w:lvlText w:val="%3."/>
      <w:lvlJc w:val="right"/>
      <w:pPr>
        <w:ind w:left="3011" w:hanging="180"/>
      </w:pPr>
    </w:lvl>
    <w:lvl w:ilvl="3" w:tplc="CC265D54">
      <w:start w:val="1"/>
      <w:numFmt w:val="decimal"/>
      <w:lvlText w:val="%4."/>
      <w:lvlJc w:val="left"/>
      <w:pPr>
        <w:ind w:left="3731" w:hanging="360"/>
      </w:pPr>
    </w:lvl>
    <w:lvl w:ilvl="4" w:tplc="E6F8645C">
      <w:start w:val="1"/>
      <w:numFmt w:val="lowerLetter"/>
      <w:lvlText w:val="%5."/>
      <w:lvlJc w:val="left"/>
      <w:pPr>
        <w:ind w:left="4451" w:hanging="360"/>
      </w:pPr>
    </w:lvl>
    <w:lvl w:ilvl="5" w:tplc="B684657A">
      <w:start w:val="1"/>
      <w:numFmt w:val="lowerRoman"/>
      <w:lvlText w:val="%6."/>
      <w:lvlJc w:val="right"/>
      <w:pPr>
        <w:ind w:left="5171" w:hanging="180"/>
      </w:pPr>
    </w:lvl>
    <w:lvl w:ilvl="6" w:tplc="5F549CCC">
      <w:start w:val="1"/>
      <w:numFmt w:val="decimal"/>
      <w:lvlText w:val="%7."/>
      <w:lvlJc w:val="left"/>
      <w:pPr>
        <w:ind w:left="5891" w:hanging="360"/>
      </w:pPr>
    </w:lvl>
    <w:lvl w:ilvl="7" w:tplc="ECE6FC92">
      <w:start w:val="1"/>
      <w:numFmt w:val="lowerLetter"/>
      <w:lvlText w:val="%8."/>
      <w:lvlJc w:val="left"/>
      <w:pPr>
        <w:ind w:left="6611" w:hanging="360"/>
      </w:pPr>
    </w:lvl>
    <w:lvl w:ilvl="8" w:tplc="0D2E0E28">
      <w:start w:val="1"/>
      <w:numFmt w:val="lowerRoman"/>
      <w:lvlText w:val="%9."/>
      <w:lvlJc w:val="right"/>
      <w:pPr>
        <w:ind w:left="7331" w:hanging="180"/>
      </w:pPr>
    </w:lvl>
  </w:abstractNum>
  <w:abstractNum w:abstractNumId="4">
    <w:nsid w:val="124C1C6B"/>
    <w:multiLevelType w:val="hybridMultilevel"/>
    <w:tmpl w:val="EB6C5098"/>
    <w:lvl w:ilvl="0" w:tplc="4AFE830A">
      <w:start w:val="1"/>
      <w:numFmt w:val="decimal"/>
      <w:lvlText w:val="%1."/>
      <w:lvlJc w:val="left"/>
      <w:pPr>
        <w:ind w:left="1571" w:hanging="360"/>
      </w:pPr>
    </w:lvl>
    <w:lvl w:ilvl="1" w:tplc="8B5A771C">
      <w:start w:val="1"/>
      <w:numFmt w:val="lowerLetter"/>
      <w:lvlText w:val="%2."/>
      <w:lvlJc w:val="left"/>
      <w:pPr>
        <w:ind w:left="2291" w:hanging="360"/>
      </w:pPr>
    </w:lvl>
    <w:lvl w:ilvl="2" w:tplc="FF6A12A6">
      <w:start w:val="1"/>
      <w:numFmt w:val="lowerRoman"/>
      <w:lvlText w:val="%3."/>
      <w:lvlJc w:val="right"/>
      <w:pPr>
        <w:ind w:left="3011" w:hanging="180"/>
      </w:pPr>
    </w:lvl>
    <w:lvl w:ilvl="3" w:tplc="EE586F6A">
      <w:start w:val="1"/>
      <w:numFmt w:val="decimal"/>
      <w:lvlText w:val="%4."/>
      <w:lvlJc w:val="left"/>
      <w:pPr>
        <w:ind w:left="3731" w:hanging="360"/>
      </w:pPr>
    </w:lvl>
    <w:lvl w:ilvl="4" w:tplc="CCF444B4">
      <w:start w:val="1"/>
      <w:numFmt w:val="lowerLetter"/>
      <w:lvlText w:val="%5."/>
      <w:lvlJc w:val="left"/>
      <w:pPr>
        <w:ind w:left="4451" w:hanging="360"/>
      </w:pPr>
    </w:lvl>
    <w:lvl w:ilvl="5" w:tplc="0A6E5C3E">
      <w:start w:val="1"/>
      <w:numFmt w:val="lowerRoman"/>
      <w:lvlText w:val="%6."/>
      <w:lvlJc w:val="right"/>
      <w:pPr>
        <w:ind w:left="5171" w:hanging="180"/>
      </w:pPr>
    </w:lvl>
    <w:lvl w:ilvl="6" w:tplc="2B64F49E">
      <w:start w:val="1"/>
      <w:numFmt w:val="decimal"/>
      <w:lvlText w:val="%7."/>
      <w:lvlJc w:val="left"/>
      <w:pPr>
        <w:ind w:left="5891" w:hanging="360"/>
      </w:pPr>
    </w:lvl>
    <w:lvl w:ilvl="7" w:tplc="07FCCEA4">
      <w:start w:val="1"/>
      <w:numFmt w:val="lowerLetter"/>
      <w:lvlText w:val="%8."/>
      <w:lvlJc w:val="left"/>
      <w:pPr>
        <w:ind w:left="6611" w:hanging="360"/>
      </w:pPr>
    </w:lvl>
    <w:lvl w:ilvl="8" w:tplc="1130DA2C">
      <w:start w:val="1"/>
      <w:numFmt w:val="lowerRoman"/>
      <w:lvlText w:val="%9."/>
      <w:lvlJc w:val="right"/>
      <w:pPr>
        <w:ind w:left="7331" w:hanging="180"/>
      </w:pPr>
    </w:lvl>
  </w:abstractNum>
  <w:abstractNum w:abstractNumId="5">
    <w:nsid w:val="18465943"/>
    <w:multiLevelType w:val="hybridMultilevel"/>
    <w:tmpl w:val="3A262168"/>
    <w:lvl w:ilvl="0" w:tplc="01687272">
      <w:start w:val="1"/>
      <w:numFmt w:val="decimal"/>
      <w:lvlText w:val="%1."/>
      <w:lvlJc w:val="left"/>
      <w:pPr>
        <w:ind w:left="720" w:hanging="360"/>
      </w:pPr>
      <w:rPr>
        <w:rFonts w:hint="default"/>
        <w:color w:val="000000"/>
      </w:rPr>
    </w:lvl>
    <w:lvl w:ilvl="1" w:tplc="15F0F27C">
      <w:start w:val="1"/>
      <w:numFmt w:val="lowerLetter"/>
      <w:lvlText w:val="%2."/>
      <w:lvlJc w:val="left"/>
      <w:pPr>
        <w:ind w:left="1440" w:hanging="360"/>
      </w:pPr>
    </w:lvl>
    <w:lvl w:ilvl="2" w:tplc="13D40DF8">
      <w:start w:val="1"/>
      <w:numFmt w:val="lowerRoman"/>
      <w:lvlText w:val="%3."/>
      <w:lvlJc w:val="right"/>
      <w:pPr>
        <w:ind w:left="2160" w:hanging="180"/>
      </w:pPr>
    </w:lvl>
    <w:lvl w:ilvl="3" w:tplc="68EEF9AE">
      <w:start w:val="1"/>
      <w:numFmt w:val="decimal"/>
      <w:lvlText w:val="%4."/>
      <w:lvlJc w:val="left"/>
      <w:pPr>
        <w:ind w:left="2880" w:hanging="360"/>
      </w:pPr>
    </w:lvl>
    <w:lvl w:ilvl="4" w:tplc="16E82738">
      <w:start w:val="1"/>
      <w:numFmt w:val="lowerLetter"/>
      <w:lvlText w:val="%5."/>
      <w:lvlJc w:val="left"/>
      <w:pPr>
        <w:ind w:left="3600" w:hanging="360"/>
      </w:pPr>
    </w:lvl>
    <w:lvl w:ilvl="5" w:tplc="E3F82A60">
      <w:start w:val="1"/>
      <w:numFmt w:val="lowerRoman"/>
      <w:lvlText w:val="%6."/>
      <w:lvlJc w:val="right"/>
      <w:pPr>
        <w:ind w:left="4320" w:hanging="180"/>
      </w:pPr>
    </w:lvl>
    <w:lvl w:ilvl="6" w:tplc="F9E2FBF0">
      <w:start w:val="1"/>
      <w:numFmt w:val="decimal"/>
      <w:lvlText w:val="%7."/>
      <w:lvlJc w:val="left"/>
      <w:pPr>
        <w:ind w:left="5040" w:hanging="360"/>
      </w:pPr>
    </w:lvl>
    <w:lvl w:ilvl="7" w:tplc="E21A8310">
      <w:start w:val="1"/>
      <w:numFmt w:val="lowerLetter"/>
      <w:lvlText w:val="%8."/>
      <w:lvlJc w:val="left"/>
      <w:pPr>
        <w:ind w:left="5760" w:hanging="360"/>
      </w:pPr>
    </w:lvl>
    <w:lvl w:ilvl="8" w:tplc="5AEEB048">
      <w:start w:val="1"/>
      <w:numFmt w:val="lowerRoman"/>
      <w:lvlText w:val="%9."/>
      <w:lvlJc w:val="right"/>
      <w:pPr>
        <w:ind w:left="6480" w:hanging="180"/>
      </w:pPr>
    </w:lvl>
  </w:abstractNum>
  <w:abstractNum w:abstractNumId="6">
    <w:nsid w:val="19F9103E"/>
    <w:multiLevelType w:val="hybridMultilevel"/>
    <w:tmpl w:val="8DD25C48"/>
    <w:lvl w:ilvl="0" w:tplc="9D704DF2">
      <w:start w:val="1"/>
      <w:numFmt w:val="decimal"/>
      <w:lvlText w:val="%1."/>
      <w:lvlJc w:val="left"/>
      <w:pPr>
        <w:ind w:left="1211" w:hanging="360"/>
      </w:pPr>
      <w:rPr>
        <w:rFonts w:hint="default"/>
      </w:rPr>
    </w:lvl>
    <w:lvl w:ilvl="1" w:tplc="D45EC228">
      <w:start w:val="1"/>
      <w:numFmt w:val="lowerLetter"/>
      <w:lvlText w:val="%2."/>
      <w:lvlJc w:val="left"/>
      <w:pPr>
        <w:ind w:left="1931" w:hanging="360"/>
      </w:pPr>
    </w:lvl>
    <w:lvl w:ilvl="2" w:tplc="256017C8">
      <w:start w:val="1"/>
      <w:numFmt w:val="lowerRoman"/>
      <w:lvlText w:val="%3."/>
      <w:lvlJc w:val="right"/>
      <w:pPr>
        <w:ind w:left="2651" w:hanging="180"/>
      </w:pPr>
    </w:lvl>
    <w:lvl w:ilvl="3" w:tplc="C52A8108">
      <w:start w:val="1"/>
      <w:numFmt w:val="decimal"/>
      <w:lvlText w:val="%4."/>
      <w:lvlJc w:val="left"/>
      <w:pPr>
        <w:ind w:left="3371" w:hanging="360"/>
      </w:pPr>
    </w:lvl>
    <w:lvl w:ilvl="4" w:tplc="A830A596">
      <w:start w:val="1"/>
      <w:numFmt w:val="lowerLetter"/>
      <w:lvlText w:val="%5."/>
      <w:lvlJc w:val="left"/>
      <w:pPr>
        <w:ind w:left="4091" w:hanging="360"/>
      </w:pPr>
    </w:lvl>
    <w:lvl w:ilvl="5" w:tplc="FCCA8432">
      <w:start w:val="1"/>
      <w:numFmt w:val="lowerRoman"/>
      <w:lvlText w:val="%6."/>
      <w:lvlJc w:val="right"/>
      <w:pPr>
        <w:ind w:left="4811" w:hanging="180"/>
      </w:pPr>
    </w:lvl>
    <w:lvl w:ilvl="6" w:tplc="12D4A402">
      <w:start w:val="1"/>
      <w:numFmt w:val="decimal"/>
      <w:lvlText w:val="%7."/>
      <w:lvlJc w:val="left"/>
      <w:pPr>
        <w:ind w:left="5531" w:hanging="360"/>
      </w:pPr>
    </w:lvl>
    <w:lvl w:ilvl="7" w:tplc="6A965A58">
      <w:start w:val="1"/>
      <w:numFmt w:val="lowerLetter"/>
      <w:lvlText w:val="%8."/>
      <w:lvlJc w:val="left"/>
      <w:pPr>
        <w:ind w:left="6251" w:hanging="360"/>
      </w:pPr>
    </w:lvl>
    <w:lvl w:ilvl="8" w:tplc="57327210">
      <w:start w:val="1"/>
      <w:numFmt w:val="lowerRoman"/>
      <w:lvlText w:val="%9."/>
      <w:lvlJc w:val="right"/>
      <w:pPr>
        <w:ind w:left="6971" w:hanging="180"/>
      </w:pPr>
    </w:lvl>
  </w:abstractNum>
  <w:abstractNum w:abstractNumId="7">
    <w:nsid w:val="1A821BA5"/>
    <w:multiLevelType w:val="hybridMultilevel"/>
    <w:tmpl w:val="6EDA2DE2"/>
    <w:lvl w:ilvl="0" w:tplc="AD8203EE">
      <w:start w:val="1"/>
      <w:numFmt w:val="bullet"/>
      <w:lvlText w:val=""/>
      <w:lvlJc w:val="left"/>
      <w:pPr>
        <w:ind w:left="1440" w:hanging="360"/>
      </w:pPr>
      <w:rPr>
        <w:rFonts w:ascii="Symbol" w:hAnsi="Symbol" w:hint="default"/>
      </w:rPr>
    </w:lvl>
    <w:lvl w:ilvl="1" w:tplc="4132AE6A">
      <w:start w:val="1"/>
      <w:numFmt w:val="bullet"/>
      <w:lvlText w:val="o"/>
      <w:lvlJc w:val="left"/>
      <w:pPr>
        <w:ind w:left="2160" w:hanging="360"/>
      </w:pPr>
      <w:rPr>
        <w:rFonts w:ascii="Courier New" w:hAnsi="Courier New" w:cs="Courier New" w:hint="default"/>
      </w:rPr>
    </w:lvl>
    <w:lvl w:ilvl="2" w:tplc="C2909EB6">
      <w:start w:val="1"/>
      <w:numFmt w:val="bullet"/>
      <w:lvlText w:val=""/>
      <w:lvlJc w:val="left"/>
      <w:pPr>
        <w:ind w:left="2880" w:hanging="360"/>
      </w:pPr>
      <w:rPr>
        <w:rFonts w:ascii="Wingdings" w:hAnsi="Wingdings" w:hint="default"/>
      </w:rPr>
    </w:lvl>
    <w:lvl w:ilvl="3" w:tplc="40E4C1DC">
      <w:start w:val="1"/>
      <w:numFmt w:val="bullet"/>
      <w:lvlText w:val=""/>
      <w:lvlJc w:val="left"/>
      <w:pPr>
        <w:ind w:left="3600" w:hanging="360"/>
      </w:pPr>
      <w:rPr>
        <w:rFonts w:ascii="Symbol" w:hAnsi="Symbol" w:hint="default"/>
      </w:rPr>
    </w:lvl>
    <w:lvl w:ilvl="4" w:tplc="8EFA7D86">
      <w:start w:val="1"/>
      <w:numFmt w:val="bullet"/>
      <w:lvlText w:val="o"/>
      <w:lvlJc w:val="left"/>
      <w:pPr>
        <w:ind w:left="4320" w:hanging="360"/>
      </w:pPr>
      <w:rPr>
        <w:rFonts w:ascii="Courier New" w:hAnsi="Courier New" w:cs="Courier New" w:hint="default"/>
      </w:rPr>
    </w:lvl>
    <w:lvl w:ilvl="5" w:tplc="FD986D74">
      <w:start w:val="1"/>
      <w:numFmt w:val="bullet"/>
      <w:lvlText w:val=""/>
      <w:lvlJc w:val="left"/>
      <w:pPr>
        <w:ind w:left="5040" w:hanging="360"/>
      </w:pPr>
      <w:rPr>
        <w:rFonts w:ascii="Wingdings" w:hAnsi="Wingdings" w:hint="default"/>
      </w:rPr>
    </w:lvl>
    <w:lvl w:ilvl="6" w:tplc="5728F3A0">
      <w:start w:val="1"/>
      <w:numFmt w:val="bullet"/>
      <w:lvlText w:val=""/>
      <w:lvlJc w:val="left"/>
      <w:pPr>
        <w:ind w:left="5760" w:hanging="360"/>
      </w:pPr>
      <w:rPr>
        <w:rFonts w:ascii="Symbol" w:hAnsi="Symbol" w:hint="default"/>
      </w:rPr>
    </w:lvl>
    <w:lvl w:ilvl="7" w:tplc="DACA00EE">
      <w:start w:val="1"/>
      <w:numFmt w:val="bullet"/>
      <w:lvlText w:val="o"/>
      <w:lvlJc w:val="left"/>
      <w:pPr>
        <w:ind w:left="6480" w:hanging="360"/>
      </w:pPr>
      <w:rPr>
        <w:rFonts w:ascii="Courier New" w:hAnsi="Courier New" w:cs="Courier New" w:hint="default"/>
      </w:rPr>
    </w:lvl>
    <w:lvl w:ilvl="8" w:tplc="EC32BCA0">
      <w:start w:val="1"/>
      <w:numFmt w:val="bullet"/>
      <w:lvlText w:val=""/>
      <w:lvlJc w:val="left"/>
      <w:pPr>
        <w:ind w:left="7200" w:hanging="360"/>
      </w:pPr>
      <w:rPr>
        <w:rFonts w:ascii="Wingdings" w:hAnsi="Wingdings" w:hint="default"/>
      </w:rPr>
    </w:lvl>
  </w:abstractNum>
  <w:abstractNum w:abstractNumId="8">
    <w:nsid w:val="1C4365B3"/>
    <w:multiLevelType w:val="hybridMultilevel"/>
    <w:tmpl w:val="A6FCB558"/>
    <w:lvl w:ilvl="0" w:tplc="996064EC">
      <w:start w:val="1"/>
      <w:numFmt w:val="decimal"/>
      <w:lvlText w:val="%1."/>
      <w:lvlJc w:val="left"/>
      <w:pPr>
        <w:ind w:left="1211" w:hanging="360"/>
      </w:pPr>
      <w:rPr>
        <w:rFonts w:hint="default"/>
      </w:rPr>
    </w:lvl>
    <w:lvl w:ilvl="1" w:tplc="283A8B1E">
      <w:start w:val="1"/>
      <w:numFmt w:val="lowerLetter"/>
      <w:lvlText w:val="%2."/>
      <w:lvlJc w:val="left"/>
      <w:pPr>
        <w:ind w:left="1931" w:hanging="360"/>
      </w:pPr>
    </w:lvl>
    <w:lvl w:ilvl="2" w:tplc="608E8BBC">
      <w:start w:val="1"/>
      <w:numFmt w:val="lowerRoman"/>
      <w:lvlText w:val="%3."/>
      <w:lvlJc w:val="right"/>
      <w:pPr>
        <w:ind w:left="2651" w:hanging="180"/>
      </w:pPr>
    </w:lvl>
    <w:lvl w:ilvl="3" w:tplc="3F6C9D34">
      <w:start w:val="1"/>
      <w:numFmt w:val="decimal"/>
      <w:lvlText w:val="%4."/>
      <w:lvlJc w:val="left"/>
      <w:pPr>
        <w:ind w:left="3371" w:hanging="360"/>
      </w:pPr>
    </w:lvl>
    <w:lvl w:ilvl="4" w:tplc="5E6239E8">
      <w:start w:val="1"/>
      <w:numFmt w:val="lowerLetter"/>
      <w:lvlText w:val="%5."/>
      <w:lvlJc w:val="left"/>
      <w:pPr>
        <w:ind w:left="4091" w:hanging="360"/>
      </w:pPr>
    </w:lvl>
    <w:lvl w:ilvl="5" w:tplc="F2461FB2">
      <w:start w:val="1"/>
      <w:numFmt w:val="lowerRoman"/>
      <w:lvlText w:val="%6."/>
      <w:lvlJc w:val="right"/>
      <w:pPr>
        <w:ind w:left="4811" w:hanging="180"/>
      </w:pPr>
    </w:lvl>
    <w:lvl w:ilvl="6" w:tplc="6FA0D158">
      <w:start w:val="1"/>
      <w:numFmt w:val="decimal"/>
      <w:lvlText w:val="%7."/>
      <w:lvlJc w:val="left"/>
      <w:pPr>
        <w:ind w:left="5531" w:hanging="360"/>
      </w:pPr>
    </w:lvl>
    <w:lvl w:ilvl="7" w:tplc="B67AD7D4">
      <w:start w:val="1"/>
      <w:numFmt w:val="lowerLetter"/>
      <w:lvlText w:val="%8."/>
      <w:lvlJc w:val="left"/>
      <w:pPr>
        <w:ind w:left="6251" w:hanging="360"/>
      </w:pPr>
    </w:lvl>
    <w:lvl w:ilvl="8" w:tplc="8646ADF8">
      <w:start w:val="1"/>
      <w:numFmt w:val="lowerRoman"/>
      <w:lvlText w:val="%9."/>
      <w:lvlJc w:val="right"/>
      <w:pPr>
        <w:ind w:left="6971" w:hanging="180"/>
      </w:pPr>
    </w:lvl>
  </w:abstractNum>
  <w:abstractNum w:abstractNumId="9">
    <w:nsid w:val="23553CE1"/>
    <w:multiLevelType w:val="hybridMultilevel"/>
    <w:tmpl w:val="75D855F2"/>
    <w:lvl w:ilvl="0" w:tplc="AB4AA408">
      <w:start w:val="1"/>
      <w:numFmt w:val="decimal"/>
      <w:lvlText w:val="%1."/>
      <w:lvlJc w:val="right"/>
      <w:pPr>
        <w:ind w:left="709" w:hanging="360"/>
      </w:pPr>
    </w:lvl>
    <w:lvl w:ilvl="1" w:tplc="49BC0B90">
      <w:start w:val="1"/>
      <w:numFmt w:val="lowerLetter"/>
      <w:lvlText w:val="%2."/>
      <w:lvlJc w:val="left"/>
      <w:pPr>
        <w:ind w:left="1429" w:hanging="360"/>
      </w:pPr>
    </w:lvl>
    <w:lvl w:ilvl="2" w:tplc="06BCA1BE">
      <w:start w:val="1"/>
      <w:numFmt w:val="lowerRoman"/>
      <w:lvlText w:val="%3."/>
      <w:lvlJc w:val="right"/>
      <w:pPr>
        <w:ind w:left="2149" w:hanging="180"/>
      </w:pPr>
    </w:lvl>
    <w:lvl w:ilvl="3" w:tplc="5CDE4168">
      <w:start w:val="1"/>
      <w:numFmt w:val="decimal"/>
      <w:lvlText w:val="%4."/>
      <w:lvlJc w:val="left"/>
      <w:pPr>
        <w:ind w:left="2869" w:hanging="360"/>
      </w:pPr>
    </w:lvl>
    <w:lvl w:ilvl="4" w:tplc="960A9556">
      <w:start w:val="1"/>
      <w:numFmt w:val="lowerLetter"/>
      <w:lvlText w:val="%5."/>
      <w:lvlJc w:val="left"/>
      <w:pPr>
        <w:ind w:left="3589" w:hanging="360"/>
      </w:pPr>
    </w:lvl>
    <w:lvl w:ilvl="5" w:tplc="A6D6F0F4">
      <w:start w:val="1"/>
      <w:numFmt w:val="lowerRoman"/>
      <w:lvlText w:val="%6."/>
      <w:lvlJc w:val="right"/>
      <w:pPr>
        <w:ind w:left="4309" w:hanging="180"/>
      </w:pPr>
    </w:lvl>
    <w:lvl w:ilvl="6" w:tplc="769232E4">
      <w:start w:val="1"/>
      <w:numFmt w:val="decimal"/>
      <w:lvlText w:val="%7."/>
      <w:lvlJc w:val="left"/>
      <w:pPr>
        <w:ind w:left="5029" w:hanging="360"/>
      </w:pPr>
    </w:lvl>
    <w:lvl w:ilvl="7" w:tplc="9D3C97BA">
      <w:start w:val="1"/>
      <w:numFmt w:val="lowerLetter"/>
      <w:lvlText w:val="%8."/>
      <w:lvlJc w:val="left"/>
      <w:pPr>
        <w:ind w:left="5749" w:hanging="360"/>
      </w:pPr>
    </w:lvl>
    <w:lvl w:ilvl="8" w:tplc="5EF4233E">
      <w:start w:val="1"/>
      <w:numFmt w:val="lowerRoman"/>
      <w:lvlText w:val="%9."/>
      <w:lvlJc w:val="right"/>
      <w:pPr>
        <w:ind w:left="6469" w:hanging="180"/>
      </w:pPr>
    </w:lvl>
  </w:abstractNum>
  <w:abstractNum w:abstractNumId="10">
    <w:nsid w:val="2727465A"/>
    <w:multiLevelType w:val="hybridMultilevel"/>
    <w:tmpl w:val="7C0EA46E"/>
    <w:lvl w:ilvl="0" w:tplc="A218E8FC">
      <w:start w:val="1"/>
      <w:numFmt w:val="bullet"/>
      <w:lvlText w:val=""/>
      <w:lvlJc w:val="left"/>
      <w:pPr>
        <w:ind w:left="1571" w:hanging="360"/>
      </w:pPr>
      <w:rPr>
        <w:rFonts w:ascii="Symbol" w:hAnsi="Symbol" w:hint="default"/>
      </w:rPr>
    </w:lvl>
    <w:lvl w:ilvl="1" w:tplc="93B2B682">
      <w:start w:val="1"/>
      <w:numFmt w:val="bullet"/>
      <w:lvlText w:val="o"/>
      <w:lvlJc w:val="left"/>
      <w:pPr>
        <w:ind w:left="2291" w:hanging="360"/>
      </w:pPr>
      <w:rPr>
        <w:rFonts w:ascii="Courier New" w:hAnsi="Courier New" w:cs="Courier New" w:hint="default"/>
      </w:rPr>
    </w:lvl>
    <w:lvl w:ilvl="2" w:tplc="4D0C2DC8">
      <w:start w:val="1"/>
      <w:numFmt w:val="bullet"/>
      <w:lvlText w:val=""/>
      <w:lvlJc w:val="left"/>
      <w:pPr>
        <w:ind w:left="3011" w:hanging="360"/>
      </w:pPr>
      <w:rPr>
        <w:rFonts w:ascii="Wingdings" w:hAnsi="Wingdings" w:hint="default"/>
      </w:rPr>
    </w:lvl>
    <w:lvl w:ilvl="3" w:tplc="A59CFF18">
      <w:start w:val="1"/>
      <w:numFmt w:val="bullet"/>
      <w:lvlText w:val=""/>
      <w:lvlJc w:val="left"/>
      <w:pPr>
        <w:ind w:left="3731" w:hanging="360"/>
      </w:pPr>
      <w:rPr>
        <w:rFonts w:ascii="Symbol" w:hAnsi="Symbol" w:hint="default"/>
      </w:rPr>
    </w:lvl>
    <w:lvl w:ilvl="4" w:tplc="D3AADFD0">
      <w:start w:val="1"/>
      <w:numFmt w:val="bullet"/>
      <w:lvlText w:val="o"/>
      <w:lvlJc w:val="left"/>
      <w:pPr>
        <w:ind w:left="4451" w:hanging="360"/>
      </w:pPr>
      <w:rPr>
        <w:rFonts w:ascii="Courier New" w:hAnsi="Courier New" w:cs="Courier New" w:hint="default"/>
      </w:rPr>
    </w:lvl>
    <w:lvl w:ilvl="5" w:tplc="C7CA47C0">
      <w:start w:val="1"/>
      <w:numFmt w:val="bullet"/>
      <w:lvlText w:val=""/>
      <w:lvlJc w:val="left"/>
      <w:pPr>
        <w:ind w:left="5171" w:hanging="360"/>
      </w:pPr>
      <w:rPr>
        <w:rFonts w:ascii="Wingdings" w:hAnsi="Wingdings" w:hint="default"/>
      </w:rPr>
    </w:lvl>
    <w:lvl w:ilvl="6" w:tplc="0C0C70B2">
      <w:start w:val="1"/>
      <w:numFmt w:val="bullet"/>
      <w:lvlText w:val=""/>
      <w:lvlJc w:val="left"/>
      <w:pPr>
        <w:ind w:left="5891" w:hanging="360"/>
      </w:pPr>
      <w:rPr>
        <w:rFonts w:ascii="Symbol" w:hAnsi="Symbol" w:hint="default"/>
      </w:rPr>
    </w:lvl>
    <w:lvl w:ilvl="7" w:tplc="EDD47B02">
      <w:start w:val="1"/>
      <w:numFmt w:val="bullet"/>
      <w:lvlText w:val="o"/>
      <w:lvlJc w:val="left"/>
      <w:pPr>
        <w:ind w:left="6611" w:hanging="360"/>
      </w:pPr>
      <w:rPr>
        <w:rFonts w:ascii="Courier New" w:hAnsi="Courier New" w:cs="Courier New" w:hint="default"/>
      </w:rPr>
    </w:lvl>
    <w:lvl w:ilvl="8" w:tplc="7C621E04">
      <w:start w:val="1"/>
      <w:numFmt w:val="bullet"/>
      <w:lvlText w:val=""/>
      <w:lvlJc w:val="left"/>
      <w:pPr>
        <w:ind w:left="7331" w:hanging="360"/>
      </w:pPr>
      <w:rPr>
        <w:rFonts w:ascii="Wingdings" w:hAnsi="Wingdings" w:hint="default"/>
      </w:rPr>
    </w:lvl>
  </w:abstractNum>
  <w:abstractNum w:abstractNumId="11">
    <w:nsid w:val="272D2766"/>
    <w:multiLevelType w:val="hybridMultilevel"/>
    <w:tmpl w:val="4664F046"/>
    <w:lvl w:ilvl="0" w:tplc="751E6910">
      <w:start w:val="3"/>
      <w:numFmt w:val="bullet"/>
      <w:lvlText w:val="-"/>
      <w:lvlJc w:val="left"/>
      <w:pPr>
        <w:ind w:left="1429" w:hanging="360"/>
      </w:pPr>
      <w:rPr>
        <w:rFonts w:ascii="Times New Roman" w:eastAsiaTheme="minorHAnsi" w:hAnsi="Times New Roman" w:cs="Times New Roman" w:hint="default"/>
      </w:rPr>
    </w:lvl>
    <w:lvl w:ilvl="1" w:tplc="1A70BD02">
      <w:start w:val="1"/>
      <w:numFmt w:val="bullet"/>
      <w:lvlText w:val="o"/>
      <w:lvlJc w:val="left"/>
      <w:pPr>
        <w:ind w:left="2149" w:hanging="360"/>
      </w:pPr>
      <w:rPr>
        <w:rFonts w:ascii="Courier New" w:hAnsi="Courier New" w:cs="Courier New" w:hint="default"/>
      </w:rPr>
    </w:lvl>
    <w:lvl w:ilvl="2" w:tplc="6C7E81BC">
      <w:start w:val="1"/>
      <w:numFmt w:val="bullet"/>
      <w:lvlText w:val=""/>
      <w:lvlJc w:val="left"/>
      <w:pPr>
        <w:ind w:left="2869" w:hanging="360"/>
      </w:pPr>
      <w:rPr>
        <w:rFonts w:ascii="Wingdings" w:hAnsi="Wingdings" w:hint="default"/>
      </w:rPr>
    </w:lvl>
    <w:lvl w:ilvl="3" w:tplc="AA400B5E">
      <w:start w:val="1"/>
      <w:numFmt w:val="bullet"/>
      <w:lvlText w:val=""/>
      <w:lvlJc w:val="left"/>
      <w:pPr>
        <w:ind w:left="3589" w:hanging="360"/>
      </w:pPr>
      <w:rPr>
        <w:rFonts w:ascii="Symbol" w:hAnsi="Symbol" w:hint="default"/>
      </w:rPr>
    </w:lvl>
    <w:lvl w:ilvl="4" w:tplc="98BCF428">
      <w:start w:val="1"/>
      <w:numFmt w:val="bullet"/>
      <w:lvlText w:val="o"/>
      <w:lvlJc w:val="left"/>
      <w:pPr>
        <w:ind w:left="4309" w:hanging="360"/>
      </w:pPr>
      <w:rPr>
        <w:rFonts w:ascii="Courier New" w:hAnsi="Courier New" w:cs="Courier New" w:hint="default"/>
      </w:rPr>
    </w:lvl>
    <w:lvl w:ilvl="5" w:tplc="4F5257EC">
      <w:start w:val="1"/>
      <w:numFmt w:val="bullet"/>
      <w:lvlText w:val=""/>
      <w:lvlJc w:val="left"/>
      <w:pPr>
        <w:ind w:left="5029" w:hanging="360"/>
      </w:pPr>
      <w:rPr>
        <w:rFonts w:ascii="Wingdings" w:hAnsi="Wingdings" w:hint="default"/>
      </w:rPr>
    </w:lvl>
    <w:lvl w:ilvl="6" w:tplc="5BAE75F0">
      <w:start w:val="1"/>
      <w:numFmt w:val="bullet"/>
      <w:lvlText w:val=""/>
      <w:lvlJc w:val="left"/>
      <w:pPr>
        <w:ind w:left="5749" w:hanging="360"/>
      </w:pPr>
      <w:rPr>
        <w:rFonts w:ascii="Symbol" w:hAnsi="Symbol" w:hint="default"/>
      </w:rPr>
    </w:lvl>
    <w:lvl w:ilvl="7" w:tplc="167C194A">
      <w:start w:val="1"/>
      <w:numFmt w:val="bullet"/>
      <w:lvlText w:val="o"/>
      <w:lvlJc w:val="left"/>
      <w:pPr>
        <w:ind w:left="6469" w:hanging="360"/>
      </w:pPr>
      <w:rPr>
        <w:rFonts w:ascii="Courier New" w:hAnsi="Courier New" w:cs="Courier New" w:hint="default"/>
      </w:rPr>
    </w:lvl>
    <w:lvl w:ilvl="8" w:tplc="8EE6844A">
      <w:start w:val="1"/>
      <w:numFmt w:val="bullet"/>
      <w:lvlText w:val=""/>
      <w:lvlJc w:val="left"/>
      <w:pPr>
        <w:ind w:left="7189" w:hanging="360"/>
      </w:pPr>
      <w:rPr>
        <w:rFonts w:ascii="Wingdings" w:hAnsi="Wingdings" w:hint="default"/>
      </w:rPr>
    </w:lvl>
  </w:abstractNum>
  <w:abstractNum w:abstractNumId="12">
    <w:nsid w:val="2AC466F8"/>
    <w:multiLevelType w:val="hybridMultilevel"/>
    <w:tmpl w:val="F894F8BE"/>
    <w:lvl w:ilvl="0" w:tplc="4552D150">
      <w:start w:val="3"/>
      <w:numFmt w:val="bullet"/>
      <w:lvlText w:val="-"/>
      <w:lvlJc w:val="left"/>
      <w:pPr>
        <w:ind w:left="1429" w:hanging="360"/>
      </w:pPr>
      <w:rPr>
        <w:rFonts w:ascii="Times New Roman" w:eastAsiaTheme="minorHAnsi" w:hAnsi="Times New Roman" w:cs="Times New Roman" w:hint="default"/>
      </w:rPr>
    </w:lvl>
    <w:lvl w:ilvl="1" w:tplc="9FA04E60">
      <w:start w:val="1"/>
      <w:numFmt w:val="bullet"/>
      <w:lvlText w:val="o"/>
      <w:lvlJc w:val="left"/>
      <w:pPr>
        <w:ind w:left="2149" w:hanging="360"/>
      </w:pPr>
      <w:rPr>
        <w:rFonts w:ascii="Courier New" w:hAnsi="Courier New" w:cs="Courier New" w:hint="default"/>
      </w:rPr>
    </w:lvl>
    <w:lvl w:ilvl="2" w:tplc="1B00134E">
      <w:start w:val="1"/>
      <w:numFmt w:val="bullet"/>
      <w:lvlText w:val=""/>
      <w:lvlJc w:val="left"/>
      <w:pPr>
        <w:ind w:left="2869" w:hanging="360"/>
      </w:pPr>
      <w:rPr>
        <w:rFonts w:ascii="Wingdings" w:hAnsi="Wingdings" w:hint="default"/>
      </w:rPr>
    </w:lvl>
    <w:lvl w:ilvl="3" w:tplc="01F8C2B0">
      <w:start w:val="1"/>
      <w:numFmt w:val="bullet"/>
      <w:lvlText w:val=""/>
      <w:lvlJc w:val="left"/>
      <w:pPr>
        <w:ind w:left="3589" w:hanging="360"/>
      </w:pPr>
      <w:rPr>
        <w:rFonts w:ascii="Symbol" w:hAnsi="Symbol" w:hint="default"/>
      </w:rPr>
    </w:lvl>
    <w:lvl w:ilvl="4" w:tplc="5E6CC2F0">
      <w:start w:val="1"/>
      <w:numFmt w:val="bullet"/>
      <w:lvlText w:val="o"/>
      <w:lvlJc w:val="left"/>
      <w:pPr>
        <w:ind w:left="4309" w:hanging="360"/>
      </w:pPr>
      <w:rPr>
        <w:rFonts w:ascii="Courier New" w:hAnsi="Courier New" w:cs="Courier New" w:hint="default"/>
      </w:rPr>
    </w:lvl>
    <w:lvl w:ilvl="5" w:tplc="1074789E">
      <w:start w:val="1"/>
      <w:numFmt w:val="bullet"/>
      <w:lvlText w:val=""/>
      <w:lvlJc w:val="left"/>
      <w:pPr>
        <w:ind w:left="5029" w:hanging="360"/>
      </w:pPr>
      <w:rPr>
        <w:rFonts w:ascii="Wingdings" w:hAnsi="Wingdings" w:hint="default"/>
      </w:rPr>
    </w:lvl>
    <w:lvl w:ilvl="6" w:tplc="AB2C5E90">
      <w:start w:val="1"/>
      <w:numFmt w:val="bullet"/>
      <w:lvlText w:val=""/>
      <w:lvlJc w:val="left"/>
      <w:pPr>
        <w:ind w:left="5749" w:hanging="360"/>
      </w:pPr>
      <w:rPr>
        <w:rFonts w:ascii="Symbol" w:hAnsi="Symbol" w:hint="default"/>
      </w:rPr>
    </w:lvl>
    <w:lvl w:ilvl="7" w:tplc="2CC4BB5C">
      <w:start w:val="1"/>
      <w:numFmt w:val="bullet"/>
      <w:lvlText w:val="o"/>
      <w:lvlJc w:val="left"/>
      <w:pPr>
        <w:ind w:left="6469" w:hanging="360"/>
      </w:pPr>
      <w:rPr>
        <w:rFonts w:ascii="Courier New" w:hAnsi="Courier New" w:cs="Courier New" w:hint="default"/>
      </w:rPr>
    </w:lvl>
    <w:lvl w:ilvl="8" w:tplc="2FF63858">
      <w:start w:val="1"/>
      <w:numFmt w:val="bullet"/>
      <w:lvlText w:val=""/>
      <w:lvlJc w:val="left"/>
      <w:pPr>
        <w:ind w:left="7189" w:hanging="360"/>
      </w:pPr>
      <w:rPr>
        <w:rFonts w:ascii="Wingdings" w:hAnsi="Wingdings" w:hint="default"/>
      </w:rPr>
    </w:lvl>
  </w:abstractNum>
  <w:abstractNum w:abstractNumId="13">
    <w:nsid w:val="335D2E85"/>
    <w:multiLevelType w:val="hybridMultilevel"/>
    <w:tmpl w:val="B9A80F54"/>
    <w:lvl w:ilvl="0" w:tplc="5A74707E">
      <w:start w:val="3"/>
      <w:numFmt w:val="bullet"/>
      <w:lvlText w:val="-"/>
      <w:lvlJc w:val="left"/>
      <w:pPr>
        <w:ind w:left="720" w:hanging="360"/>
      </w:pPr>
      <w:rPr>
        <w:rFonts w:ascii="Times New Roman" w:eastAsiaTheme="minorHAnsi" w:hAnsi="Times New Roman" w:cs="Times New Roman" w:hint="default"/>
      </w:rPr>
    </w:lvl>
    <w:lvl w:ilvl="1" w:tplc="F4A064AE">
      <w:start w:val="3"/>
      <w:numFmt w:val="bullet"/>
      <w:lvlText w:val="-"/>
      <w:lvlJc w:val="left"/>
      <w:pPr>
        <w:ind w:left="1440" w:hanging="360"/>
      </w:pPr>
      <w:rPr>
        <w:rFonts w:ascii="Times New Roman" w:eastAsiaTheme="minorHAnsi" w:hAnsi="Times New Roman" w:cs="Times New Roman" w:hint="default"/>
      </w:rPr>
    </w:lvl>
    <w:lvl w:ilvl="2" w:tplc="FC363F5C">
      <w:start w:val="1"/>
      <w:numFmt w:val="bullet"/>
      <w:lvlText w:val=""/>
      <w:lvlJc w:val="left"/>
      <w:pPr>
        <w:ind w:left="2160" w:hanging="360"/>
      </w:pPr>
      <w:rPr>
        <w:rFonts w:ascii="Wingdings" w:hAnsi="Wingdings" w:hint="default"/>
      </w:rPr>
    </w:lvl>
    <w:lvl w:ilvl="3" w:tplc="1540B340">
      <w:start w:val="1"/>
      <w:numFmt w:val="bullet"/>
      <w:lvlText w:val=""/>
      <w:lvlJc w:val="left"/>
      <w:pPr>
        <w:ind w:left="2880" w:hanging="360"/>
      </w:pPr>
      <w:rPr>
        <w:rFonts w:ascii="Symbol" w:hAnsi="Symbol" w:hint="default"/>
      </w:rPr>
    </w:lvl>
    <w:lvl w:ilvl="4" w:tplc="54DE6206">
      <w:start w:val="1"/>
      <w:numFmt w:val="bullet"/>
      <w:lvlText w:val="o"/>
      <w:lvlJc w:val="left"/>
      <w:pPr>
        <w:ind w:left="3600" w:hanging="360"/>
      </w:pPr>
      <w:rPr>
        <w:rFonts w:ascii="Courier New" w:hAnsi="Courier New" w:cs="Courier New" w:hint="default"/>
      </w:rPr>
    </w:lvl>
    <w:lvl w:ilvl="5" w:tplc="0382F0D6">
      <w:start w:val="1"/>
      <w:numFmt w:val="bullet"/>
      <w:lvlText w:val=""/>
      <w:lvlJc w:val="left"/>
      <w:pPr>
        <w:ind w:left="4320" w:hanging="360"/>
      </w:pPr>
      <w:rPr>
        <w:rFonts w:ascii="Wingdings" w:hAnsi="Wingdings" w:hint="default"/>
      </w:rPr>
    </w:lvl>
    <w:lvl w:ilvl="6" w:tplc="D6CC1188">
      <w:start w:val="1"/>
      <w:numFmt w:val="bullet"/>
      <w:lvlText w:val=""/>
      <w:lvlJc w:val="left"/>
      <w:pPr>
        <w:ind w:left="5040" w:hanging="360"/>
      </w:pPr>
      <w:rPr>
        <w:rFonts w:ascii="Symbol" w:hAnsi="Symbol" w:hint="default"/>
      </w:rPr>
    </w:lvl>
    <w:lvl w:ilvl="7" w:tplc="F05A2BDC">
      <w:start w:val="1"/>
      <w:numFmt w:val="bullet"/>
      <w:lvlText w:val="o"/>
      <w:lvlJc w:val="left"/>
      <w:pPr>
        <w:ind w:left="5760" w:hanging="360"/>
      </w:pPr>
      <w:rPr>
        <w:rFonts w:ascii="Courier New" w:hAnsi="Courier New" w:cs="Courier New" w:hint="default"/>
      </w:rPr>
    </w:lvl>
    <w:lvl w:ilvl="8" w:tplc="DB1AF09E">
      <w:start w:val="1"/>
      <w:numFmt w:val="bullet"/>
      <w:lvlText w:val=""/>
      <w:lvlJc w:val="left"/>
      <w:pPr>
        <w:ind w:left="6480" w:hanging="360"/>
      </w:pPr>
      <w:rPr>
        <w:rFonts w:ascii="Wingdings" w:hAnsi="Wingdings" w:hint="default"/>
      </w:rPr>
    </w:lvl>
  </w:abstractNum>
  <w:abstractNum w:abstractNumId="14">
    <w:nsid w:val="35151F7E"/>
    <w:multiLevelType w:val="hybridMultilevel"/>
    <w:tmpl w:val="A044D9DE"/>
    <w:lvl w:ilvl="0" w:tplc="B67417B0">
      <w:start w:val="1"/>
      <w:numFmt w:val="decimal"/>
      <w:lvlText w:val="%1."/>
      <w:lvlJc w:val="left"/>
      <w:pPr>
        <w:ind w:left="2422" w:hanging="360"/>
      </w:pPr>
      <w:rPr>
        <w:rFonts w:hint="default"/>
      </w:rPr>
    </w:lvl>
    <w:lvl w:ilvl="1" w:tplc="331E5200">
      <w:start w:val="1"/>
      <w:numFmt w:val="decimal"/>
      <w:lvlText w:val="%2."/>
      <w:lvlJc w:val="left"/>
      <w:pPr>
        <w:ind w:left="2291" w:hanging="360"/>
      </w:pPr>
    </w:lvl>
    <w:lvl w:ilvl="2" w:tplc="3B84C33C">
      <w:start w:val="1"/>
      <w:numFmt w:val="lowerRoman"/>
      <w:lvlText w:val="%3."/>
      <w:lvlJc w:val="right"/>
      <w:pPr>
        <w:ind w:left="3011" w:hanging="180"/>
      </w:pPr>
    </w:lvl>
    <w:lvl w:ilvl="3" w:tplc="72D4A410">
      <w:start w:val="1"/>
      <w:numFmt w:val="decimal"/>
      <w:lvlText w:val="%4."/>
      <w:lvlJc w:val="left"/>
      <w:pPr>
        <w:ind w:left="3731" w:hanging="360"/>
      </w:pPr>
    </w:lvl>
    <w:lvl w:ilvl="4" w:tplc="756C55F2">
      <w:start w:val="1"/>
      <w:numFmt w:val="lowerLetter"/>
      <w:lvlText w:val="%5."/>
      <w:lvlJc w:val="left"/>
      <w:pPr>
        <w:ind w:left="4451" w:hanging="360"/>
      </w:pPr>
    </w:lvl>
    <w:lvl w:ilvl="5" w:tplc="BE7E820E">
      <w:start w:val="1"/>
      <w:numFmt w:val="lowerRoman"/>
      <w:lvlText w:val="%6."/>
      <w:lvlJc w:val="right"/>
      <w:pPr>
        <w:ind w:left="5171" w:hanging="180"/>
      </w:pPr>
    </w:lvl>
    <w:lvl w:ilvl="6" w:tplc="F380FADE">
      <w:start w:val="1"/>
      <w:numFmt w:val="decimal"/>
      <w:lvlText w:val="%7."/>
      <w:lvlJc w:val="left"/>
      <w:pPr>
        <w:ind w:left="5891" w:hanging="360"/>
      </w:pPr>
    </w:lvl>
    <w:lvl w:ilvl="7" w:tplc="B51C8E4E">
      <w:start w:val="1"/>
      <w:numFmt w:val="lowerLetter"/>
      <w:lvlText w:val="%8."/>
      <w:lvlJc w:val="left"/>
      <w:pPr>
        <w:ind w:left="6611" w:hanging="360"/>
      </w:pPr>
    </w:lvl>
    <w:lvl w:ilvl="8" w:tplc="C8C25630">
      <w:start w:val="1"/>
      <w:numFmt w:val="lowerRoman"/>
      <w:lvlText w:val="%9."/>
      <w:lvlJc w:val="right"/>
      <w:pPr>
        <w:ind w:left="7331" w:hanging="180"/>
      </w:pPr>
    </w:lvl>
  </w:abstractNum>
  <w:abstractNum w:abstractNumId="15">
    <w:nsid w:val="371A1BB2"/>
    <w:multiLevelType w:val="hybridMultilevel"/>
    <w:tmpl w:val="4B0686D4"/>
    <w:lvl w:ilvl="0" w:tplc="04407084">
      <w:start w:val="1"/>
      <w:numFmt w:val="decimal"/>
      <w:lvlText w:val="%1."/>
      <w:lvlJc w:val="left"/>
      <w:pPr>
        <w:ind w:left="1211" w:hanging="360"/>
      </w:pPr>
      <w:rPr>
        <w:rFonts w:hint="default"/>
      </w:rPr>
    </w:lvl>
    <w:lvl w:ilvl="1" w:tplc="09763B12">
      <w:start w:val="1"/>
      <w:numFmt w:val="lowerLetter"/>
      <w:lvlText w:val="%2."/>
      <w:lvlJc w:val="left"/>
      <w:pPr>
        <w:ind w:left="1931" w:hanging="360"/>
      </w:pPr>
    </w:lvl>
    <w:lvl w:ilvl="2" w:tplc="6E7CFC3A">
      <w:start w:val="1"/>
      <w:numFmt w:val="lowerRoman"/>
      <w:lvlText w:val="%3."/>
      <w:lvlJc w:val="right"/>
      <w:pPr>
        <w:ind w:left="2651" w:hanging="180"/>
      </w:pPr>
    </w:lvl>
    <w:lvl w:ilvl="3" w:tplc="E43458D4">
      <w:start w:val="1"/>
      <w:numFmt w:val="decimal"/>
      <w:lvlText w:val="%4."/>
      <w:lvlJc w:val="left"/>
      <w:pPr>
        <w:ind w:left="3371" w:hanging="360"/>
      </w:pPr>
    </w:lvl>
    <w:lvl w:ilvl="4" w:tplc="289AF78E">
      <w:start w:val="1"/>
      <w:numFmt w:val="lowerLetter"/>
      <w:lvlText w:val="%5."/>
      <w:lvlJc w:val="left"/>
      <w:pPr>
        <w:ind w:left="4091" w:hanging="360"/>
      </w:pPr>
    </w:lvl>
    <w:lvl w:ilvl="5" w:tplc="A0A44194">
      <w:start w:val="1"/>
      <w:numFmt w:val="lowerRoman"/>
      <w:lvlText w:val="%6."/>
      <w:lvlJc w:val="right"/>
      <w:pPr>
        <w:ind w:left="4811" w:hanging="180"/>
      </w:pPr>
    </w:lvl>
    <w:lvl w:ilvl="6" w:tplc="50D0A2D8">
      <w:start w:val="1"/>
      <w:numFmt w:val="decimal"/>
      <w:lvlText w:val="%7."/>
      <w:lvlJc w:val="left"/>
      <w:pPr>
        <w:ind w:left="5531" w:hanging="360"/>
      </w:pPr>
    </w:lvl>
    <w:lvl w:ilvl="7" w:tplc="BCEC4FD2">
      <w:start w:val="1"/>
      <w:numFmt w:val="lowerLetter"/>
      <w:lvlText w:val="%8."/>
      <w:lvlJc w:val="left"/>
      <w:pPr>
        <w:ind w:left="6251" w:hanging="360"/>
      </w:pPr>
    </w:lvl>
    <w:lvl w:ilvl="8" w:tplc="84CE4DEC">
      <w:start w:val="1"/>
      <w:numFmt w:val="lowerRoman"/>
      <w:lvlText w:val="%9."/>
      <w:lvlJc w:val="right"/>
      <w:pPr>
        <w:ind w:left="6971" w:hanging="180"/>
      </w:pPr>
    </w:lvl>
  </w:abstractNum>
  <w:abstractNum w:abstractNumId="16">
    <w:nsid w:val="38EC7C06"/>
    <w:multiLevelType w:val="hybridMultilevel"/>
    <w:tmpl w:val="666A5F26"/>
    <w:lvl w:ilvl="0" w:tplc="C818C2A4">
      <w:start w:val="1"/>
      <w:numFmt w:val="none"/>
      <w:suff w:val="nothing"/>
      <w:lvlText w:val=""/>
      <w:lvlJc w:val="left"/>
      <w:pPr>
        <w:ind w:left="432" w:hanging="432"/>
      </w:pPr>
      <w:rPr>
        <w:rFonts w:cs="Times New Roman"/>
      </w:rPr>
    </w:lvl>
    <w:lvl w:ilvl="1" w:tplc="AC0483A6">
      <w:start w:val="1"/>
      <w:numFmt w:val="none"/>
      <w:suff w:val="nothing"/>
      <w:lvlText w:val=""/>
      <w:lvlJc w:val="left"/>
      <w:pPr>
        <w:ind w:left="576" w:hanging="576"/>
      </w:pPr>
      <w:rPr>
        <w:rFonts w:cs="Times New Roman"/>
      </w:rPr>
    </w:lvl>
    <w:lvl w:ilvl="2" w:tplc="D8409244">
      <w:start w:val="1"/>
      <w:numFmt w:val="none"/>
      <w:suff w:val="nothing"/>
      <w:lvlText w:val=""/>
      <w:lvlJc w:val="left"/>
      <w:pPr>
        <w:ind w:left="720" w:hanging="720"/>
      </w:pPr>
      <w:rPr>
        <w:rFonts w:cs="Times New Roman"/>
      </w:rPr>
    </w:lvl>
    <w:lvl w:ilvl="3" w:tplc="C8F85188">
      <w:start w:val="1"/>
      <w:numFmt w:val="none"/>
      <w:suff w:val="nothing"/>
      <w:lvlText w:val=""/>
      <w:lvlJc w:val="left"/>
      <w:pPr>
        <w:ind w:left="864" w:hanging="864"/>
      </w:pPr>
      <w:rPr>
        <w:rFonts w:cs="Times New Roman"/>
      </w:rPr>
    </w:lvl>
    <w:lvl w:ilvl="4" w:tplc="1FD0EDF6">
      <w:start w:val="1"/>
      <w:numFmt w:val="none"/>
      <w:suff w:val="nothing"/>
      <w:lvlText w:val=""/>
      <w:lvlJc w:val="left"/>
      <w:pPr>
        <w:ind w:left="1008" w:hanging="1008"/>
      </w:pPr>
      <w:rPr>
        <w:rFonts w:cs="Times New Roman"/>
      </w:rPr>
    </w:lvl>
    <w:lvl w:ilvl="5" w:tplc="A80097EC">
      <w:start w:val="1"/>
      <w:numFmt w:val="none"/>
      <w:suff w:val="nothing"/>
      <w:lvlText w:val=""/>
      <w:lvlJc w:val="left"/>
      <w:pPr>
        <w:ind w:left="1152" w:hanging="1152"/>
      </w:pPr>
      <w:rPr>
        <w:rFonts w:cs="Times New Roman"/>
      </w:rPr>
    </w:lvl>
    <w:lvl w:ilvl="6" w:tplc="B43AC0D2">
      <w:start w:val="1"/>
      <w:numFmt w:val="none"/>
      <w:suff w:val="nothing"/>
      <w:lvlText w:val=""/>
      <w:lvlJc w:val="left"/>
      <w:pPr>
        <w:ind w:left="1296" w:hanging="1296"/>
      </w:pPr>
      <w:rPr>
        <w:rFonts w:cs="Times New Roman"/>
      </w:rPr>
    </w:lvl>
    <w:lvl w:ilvl="7" w:tplc="E55C8A84">
      <w:start w:val="1"/>
      <w:numFmt w:val="none"/>
      <w:suff w:val="nothing"/>
      <w:lvlText w:val=""/>
      <w:lvlJc w:val="left"/>
      <w:pPr>
        <w:ind w:left="1440" w:hanging="1440"/>
      </w:pPr>
      <w:rPr>
        <w:rFonts w:cs="Times New Roman"/>
      </w:rPr>
    </w:lvl>
    <w:lvl w:ilvl="8" w:tplc="5A1A329A">
      <w:start w:val="1"/>
      <w:numFmt w:val="none"/>
      <w:suff w:val="nothing"/>
      <w:lvlText w:val=""/>
      <w:lvlJc w:val="left"/>
      <w:pPr>
        <w:ind w:left="1584" w:hanging="1584"/>
      </w:pPr>
      <w:rPr>
        <w:rFonts w:cs="Times New Roman"/>
      </w:rPr>
    </w:lvl>
  </w:abstractNum>
  <w:abstractNum w:abstractNumId="17">
    <w:nsid w:val="3CDF0529"/>
    <w:multiLevelType w:val="hybridMultilevel"/>
    <w:tmpl w:val="4F328208"/>
    <w:lvl w:ilvl="0" w:tplc="F68879C2">
      <w:start w:val="1"/>
      <w:numFmt w:val="bullet"/>
      <w:lvlText w:val=""/>
      <w:lvlJc w:val="left"/>
      <w:pPr>
        <w:ind w:left="1429" w:hanging="360"/>
      </w:pPr>
      <w:rPr>
        <w:rFonts w:ascii="Symbol" w:hAnsi="Symbol" w:hint="default"/>
      </w:rPr>
    </w:lvl>
    <w:lvl w:ilvl="1" w:tplc="82603FAA">
      <w:start w:val="1"/>
      <w:numFmt w:val="bullet"/>
      <w:lvlText w:val="o"/>
      <w:lvlJc w:val="left"/>
      <w:pPr>
        <w:ind w:left="2149" w:hanging="360"/>
      </w:pPr>
      <w:rPr>
        <w:rFonts w:ascii="Courier New" w:hAnsi="Courier New" w:cs="Courier New" w:hint="default"/>
      </w:rPr>
    </w:lvl>
    <w:lvl w:ilvl="2" w:tplc="BD482E7C">
      <w:start w:val="1"/>
      <w:numFmt w:val="bullet"/>
      <w:lvlText w:val=""/>
      <w:lvlJc w:val="left"/>
      <w:pPr>
        <w:ind w:left="2869" w:hanging="360"/>
      </w:pPr>
      <w:rPr>
        <w:rFonts w:ascii="Wingdings" w:hAnsi="Wingdings" w:hint="default"/>
      </w:rPr>
    </w:lvl>
    <w:lvl w:ilvl="3" w:tplc="B7B6395E">
      <w:start w:val="1"/>
      <w:numFmt w:val="bullet"/>
      <w:lvlText w:val=""/>
      <w:lvlJc w:val="left"/>
      <w:pPr>
        <w:ind w:left="3589" w:hanging="360"/>
      </w:pPr>
      <w:rPr>
        <w:rFonts w:ascii="Symbol" w:hAnsi="Symbol" w:hint="default"/>
      </w:rPr>
    </w:lvl>
    <w:lvl w:ilvl="4" w:tplc="3C96C1B0">
      <w:start w:val="1"/>
      <w:numFmt w:val="bullet"/>
      <w:lvlText w:val="o"/>
      <w:lvlJc w:val="left"/>
      <w:pPr>
        <w:ind w:left="4309" w:hanging="360"/>
      </w:pPr>
      <w:rPr>
        <w:rFonts w:ascii="Courier New" w:hAnsi="Courier New" w:cs="Courier New" w:hint="default"/>
      </w:rPr>
    </w:lvl>
    <w:lvl w:ilvl="5" w:tplc="F616686A">
      <w:start w:val="1"/>
      <w:numFmt w:val="bullet"/>
      <w:lvlText w:val=""/>
      <w:lvlJc w:val="left"/>
      <w:pPr>
        <w:ind w:left="5029" w:hanging="360"/>
      </w:pPr>
      <w:rPr>
        <w:rFonts w:ascii="Wingdings" w:hAnsi="Wingdings" w:hint="default"/>
      </w:rPr>
    </w:lvl>
    <w:lvl w:ilvl="6" w:tplc="0B24DE66">
      <w:start w:val="1"/>
      <w:numFmt w:val="bullet"/>
      <w:lvlText w:val=""/>
      <w:lvlJc w:val="left"/>
      <w:pPr>
        <w:ind w:left="5749" w:hanging="360"/>
      </w:pPr>
      <w:rPr>
        <w:rFonts w:ascii="Symbol" w:hAnsi="Symbol" w:hint="default"/>
      </w:rPr>
    </w:lvl>
    <w:lvl w:ilvl="7" w:tplc="AC26A20A">
      <w:start w:val="1"/>
      <w:numFmt w:val="bullet"/>
      <w:lvlText w:val="o"/>
      <w:lvlJc w:val="left"/>
      <w:pPr>
        <w:ind w:left="6469" w:hanging="360"/>
      </w:pPr>
      <w:rPr>
        <w:rFonts w:ascii="Courier New" w:hAnsi="Courier New" w:cs="Courier New" w:hint="default"/>
      </w:rPr>
    </w:lvl>
    <w:lvl w:ilvl="8" w:tplc="023876B6">
      <w:start w:val="1"/>
      <w:numFmt w:val="bullet"/>
      <w:lvlText w:val=""/>
      <w:lvlJc w:val="left"/>
      <w:pPr>
        <w:ind w:left="7189" w:hanging="360"/>
      </w:pPr>
      <w:rPr>
        <w:rFonts w:ascii="Wingdings" w:hAnsi="Wingdings" w:hint="default"/>
      </w:rPr>
    </w:lvl>
  </w:abstractNum>
  <w:abstractNum w:abstractNumId="18">
    <w:nsid w:val="3D650DBD"/>
    <w:multiLevelType w:val="hybridMultilevel"/>
    <w:tmpl w:val="66EA8920"/>
    <w:lvl w:ilvl="0" w:tplc="31BEA4AC">
      <w:start w:val="1"/>
      <w:numFmt w:val="bullet"/>
      <w:lvlText w:val=""/>
      <w:lvlJc w:val="left"/>
      <w:pPr>
        <w:ind w:left="1571" w:hanging="360"/>
      </w:pPr>
      <w:rPr>
        <w:rFonts w:ascii="Symbol" w:hAnsi="Symbol" w:hint="default"/>
      </w:rPr>
    </w:lvl>
    <w:lvl w:ilvl="1" w:tplc="0E8A2952">
      <w:start w:val="1"/>
      <w:numFmt w:val="bullet"/>
      <w:lvlText w:val="o"/>
      <w:lvlJc w:val="left"/>
      <w:pPr>
        <w:ind w:left="2291" w:hanging="360"/>
      </w:pPr>
      <w:rPr>
        <w:rFonts w:ascii="Courier New" w:hAnsi="Courier New" w:cs="Courier New" w:hint="default"/>
      </w:rPr>
    </w:lvl>
    <w:lvl w:ilvl="2" w:tplc="860AA098">
      <w:start w:val="1"/>
      <w:numFmt w:val="bullet"/>
      <w:lvlText w:val=""/>
      <w:lvlJc w:val="left"/>
      <w:pPr>
        <w:ind w:left="3011" w:hanging="360"/>
      </w:pPr>
      <w:rPr>
        <w:rFonts w:ascii="Wingdings" w:hAnsi="Wingdings" w:hint="default"/>
      </w:rPr>
    </w:lvl>
    <w:lvl w:ilvl="3" w:tplc="67C8CE40">
      <w:start w:val="1"/>
      <w:numFmt w:val="bullet"/>
      <w:lvlText w:val=""/>
      <w:lvlJc w:val="left"/>
      <w:pPr>
        <w:ind w:left="3731" w:hanging="360"/>
      </w:pPr>
      <w:rPr>
        <w:rFonts w:ascii="Symbol" w:hAnsi="Symbol" w:hint="default"/>
      </w:rPr>
    </w:lvl>
    <w:lvl w:ilvl="4" w:tplc="E438C9D0">
      <w:start w:val="1"/>
      <w:numFmt w:val="bullet"/>
      <w:lvlText w:val="o"/>
      <w:lvlJc w:val="left"/>
      <w:pPr>
        <w:ind w:left="4451" w:hanging="360"/>
      </w:pPr>
      <w:rPr>
        <w:rFonts w:ascii="Courier New" w:hAnsi="Courier New" w:cs="Courier New" w:hint="default"/>
      </w:rPr>
    </w:lvl>
    <w:lvl w:ilvl="5" w:tplc="C60A2654">
      <w:start w:val="1"/>
      <w:numFmt w:val="bullet"/>
      <w:lvlText w:val=""/>
      <w:lvlJc w:val="left"/>
      <w:pPr>
        <w:ind w:left="5171" w:hanging="360"/>
      </w:pPr>
      <w:rPr>
        <w:rFonts w:ascii="Wingdings" w:hAnsi="Wingdings" w:hint="default"/>
      </w:rPr>
    </w:lvl>
    <w:lvl w:ilvl="6" w:tplc="E55A35CC">
      <w:start w:val="1"/>
      <w:numFmt w:val="bullet"/>
      <w:lvlText w:val=""/>
      <w:lvlJc w:val="left"/>
      <w:pPr>
        <w:ind w:left="5891" w:hanging="360"/>
      </w:pPr>
      <w:rPr>
        <w:rFonts w:ascii="Symbol" w:hAnsi="Symbol" w:hint="default"/>
      </w:rPr>
    </w:lvl>
    <w:lvl w:ilvl="7" w:tplc="4E06A3A6">
      <w:start w:val="1"/>
      <w:numFmt w:val="bullet"/>
      <w:lvlText w:val="o"/>
      <w:lvlJc w:val="left"/>
      <w:pPr>
        <w:ind w:left="6611" w:hanging="360"/>
      </w:pPr>
      <w:rPr>
        <w:rFonts w:ascii="Courier New" w:hAnsi="Courier New" w:cs="Courier New" w:hint="default"/>
      </w:rPr>
    </w:lvl>
    <w:lvl w:ilvl="8" w:tplc="BB86BBE8">
      <w:start w:val="1"/>
      <w:numFmt w:val="bullet"/>
      <w:lvlText w:val=""/>
      <w:lvlJc w:val="left"/>
      <w:pPr>
        <w:ind w:left="7331" w:hanging="360"/>
      </w:pPr>
      <w:rPr>
        <w:rFonts w:ascii="Wingdings" w:hAnsi="Wingdings" w:hint="default"/>
      </w:rPr>
    </w:lvl>
  </w:abstractNum>
  <w:abstractNum w:abstractNumId="19">
    <w:nsid w:val="3D7503BB"/>
    <w:multiLevelType w:val="hybridMultilevel"/>
    <w:tmpl w:val="9A8ECD5A"/>
    <w:lvl w:ilvl="0" w:tplc="7700BAFE">
      <w:start w:val="1"/>
      <w:numFmt w:val="none"/>
      <w:pStyle w:val="11"/>
      <w:suff w:val="nothing"/>
      <w:lvlText w:val=""/>
      <w:lvlJc w:val="left"/>
      <w:pPr>
        <w:ind w:left="432" w:hanging="432"/>
      </w:pPr>
      <w:rPr>
        <w:rFonts w:cs="Times New Roman"/>
      </w:rPr>
    </w:lvl>
    <w:lvl w:ilvl="1" w:tplc="30301E68">
      <w:start w:val="1"/>
      <w:numFmt w:val="none"/>
      <w:pStyle w:val="21"/>
      <w:suff w:val="nothing"/>
      <w:lvlText w:val=""/>
      <w:lvlJc w:val="left"/>
      <w:pPr>
        <w:ind w:left="576" w:hanging="576"/>
      </w:pPr>
      <w:rPr>
        <w:rFonts w:cs="Times New Roman"/>
      </w:rPr>
    </w:lvl>
    <w:lvl w:ilvl="2" w:tplc="C1B4ACA4">
      <w:start w:val="1"/>
      <w:numFmt w:val="none"/>
      <w:pStyle w:val="31"/>
      <w:suff w:val="nothing"/>
      <w:lvlText w:val=""/>
      <w:lvlJc w:val="left"/>
      <w:pPr>
        <w:ind w:left="720" w:hanging="720"/>
      </w:pPr>
      <w:rPr>
        <w:rFonts w:cs="Times New Roman"/>
      </w:rPr>
    </w:lvl>
    <w:lvl w:ilvl="3" w:tplc="B3B6FB22">
      <w:start w:val="1"/>
      <w:numFmt w:val="none"/>
      <w:suff w:val="nothing"/>
      <w:lvlText w:val=""/>
      <w:lvlJc w:val="left"/>
      <w:pPr>
        <w:ind w:left="0" w:firstLine="0"/>
      </w:pPr>
    </w:lvl>
    <w:lvl w:ilvl="4" w:tplc="0D164134">
      <w:start w:val="1"/>
      <w:numFmt w:val="none"/>
      <w:suff w:val="nothing"/>
      <w:lvlText w:val=""/>
      <w:lvlJc w:val="left"/>
      <w:pPr>
        <w:ind w:left="0" w:firstLine="0"/>
      </w:pPr>
    </w:lvl>
    <w:lvl w:ilvl="5" w:tplc="D1EE2ADC">
      <w:start w:val="1"/>
      <w:numFmt w:val="none"/>
      <w:suff w:val="nothing"/>
      <w:lvlText w:val=""/>
      <w:lvlJc w:val="left"/>
      <w:pPr>
        <w:ind w:left="0" w:firstLine="0"/>
      </w:pPr>
    </w:lvl>
    <w:lvl w:ilvl="6" w:tplc="8112F6FC">
      <w:start w:val="1"/>
      <w:numFmt w:val="none"/>
      <w:suff w:val="nothing"/>
      <w:lvlText w:val=""/>
      <w:lvlJc w:val="left"/>
      <w:pPr>
        <w:ind w:left="0" w:firstLine="0"/>
      </w:pPr>
    </w:lvl>
    <w:lvl w:ilvl="7" w:tplc="B8005F56">
      <w:start w:val="1"/>
      <w:numFmt w:val="none"/>
      <w:suff w:val="nothing"/>
      <w:lvlText w:val=""/>
      <w:lvlJc w:val="left"/>
      <w:pPr>
        <w:ind w:left="0" w:firstLine="0"/>
      </w:pPr>
    </w:lvl>
    <w:lvl w:ilvl="8" w:tplc="D2DE1078">
      <w:start w:val="1"/>
      <w:numFmt w:val="none"/>
      <w:suff w:val="nothing"/>
      <w:lvlText w:val=""/>
      <w:lvlJc w:val="left"/>
      <w:pPr>
        <w:ind w:left="0" w:firstLine="0"/>
      </w:pPr>
    </w:lvl>
  </w:abstractNum>
  <w:abstractNum w:abstractNumId="20">
    <w:nsid w:val="3DA52573"/>
    <w:multiLevelType w:val="hybridMultilevel"/>
    <w:tmpl w:val="B0ECBA5C"/>
    <w:lvl w:ilvl="0" w:tplc="F8F2007C">
      <w:start w:val="1"/>
      <w:numFmt w:val="bullet"/>
      <w:lvlText w:val="-"/>
      <w:lvlJc w:val="left"/>
      <w:pPr>
        <w:ind w:left="0" w:firstLine="0"/>
      </w:pPr>
      <w:rPr>
        <w:rFonts w:ascii="Times New Roman" w:eastAsia="Times New Roman" w:hAnsi="Times New Roman"/>
        <w:b w:val="0"/>
        <w:i w:val="0"/>
        <w:smallCaps w:val="0"/>
        <w:strike w:val="0"/>
        <w:color w:val="000000"/>
        <w:spacing w:val="0"/>
        <w:position w:val="0"/>
        <w:sz w:val="26"/>
        <w:u w:val="none"/>
      </w:rPr>
    </w:lvl>
    <w:lvl w:ilvl="1" w:tplc="E9F84FB6">
      <w:start w:val="1"/>
      <w:numFmt w:val="decimal"/>
      <w:lvlText w:val=""/>
      <w:lvlJc w:val="left"/>
      <w:pPr>
        <w:ind w:left="0" w:firstLine="0"/>
      </w:pPr>
      <w:rPr>
        <w:rFonts w:cs="Times New Roman"/>
      </w:rPr>
    </w:lvl>
    <w:lvl w:ilvl="2" w:tplc="4CC2118C">
      <w:start w:val="1"/>
      <w:numFmt w:val="decimal"/>
      <w:lvlText w:val=""/>
      <w:lvlJc w:val="left"/>
      <w:pPr>
        <w:ind w:left="0" w:firstLine="0"/>
      </w:pPr>
      <w:rPr>
        <w:rFonts w:cs="Times New Roman"/>
      </w:rPr>
    </w:lvl>
    <w:lvl w:ilvl="3" w:tplc="A028AE5C">
      <w:start w:val="1"/>
      <w:numFmt w:val="decimal"/>
      <w:lvlText w:val=""/>
      <w:lvlJc w:val="left"/>
      <w:pPr>
        <w:ind w:left="0" w:firstLine="0"/>
      </w:pPr>
      <w:rPr>
        <w:rFonts w:cs="Times New Roman"/>
      </w:rPr>
    </w:lvl>
    <w:lvl w:ilvl="4" w:tplc="94587A82">
      <w:start w:val="1"/>
      <w:numFmt w:val="decimal"/>
      <w:lvlText w:val=""/>
      <w:lvlJc w:val="left"/>
      <w:pPr>
        <w:ind w:left="0" w:firstLine="0"/>
      </w:pPr>
      <w:rPr>
        <w:rFonts w:cs="Times New Roman"/>
      </w:rPr>
    </w:lvl>
    <w:lvl w:ilvl="5" w:tplc="5B6833C6">
      <w:start w:val="1"/>
      <w:numFmt w:val="decimal"/>
      <w:lvlText w:val=""/>
      <w:lvlJc w:val="left"/>
      <w:pPr>
        <w:ind w:left="0" w:firstLine="0"/>
      </w:pPr>
      <w:rPr>
        <w:rFonts w:cs="Times New Roman"/>
      </w:rPr>
    </w:lvl>
    <w:lvl w:ilvl="6" w:tplc="7B98F4DA">
      <w:start w:val="1"/>
      <w:numFmt w:val="decimal"/>
      <w:lvlText w:val=""/>
      <w:lvlJc w:val="left"/>
      <w:pPr>
        <w:ind w:left="0" w:firstLine="0"/>
      </w:pPr>
      <w:rPr>
        <w:rFonts w:cs="Times New Roman"/>
      </w:rPr>
    </w:lvl>
    <w:lvl w:ilvl="7" w:tplc="E670E5EE">
      <w:start w:val="1"/>
      <w:numFmt w:val="decimal"/>
      <w:lvlText w:val=""/>
      <w:lvlJc w:val="left"/>
      <w:pPr>
        <w:ind w:left="0" w:firstLine="0"/>
      </w:pPr>
      <w:rPr>
        <w:rFonts w:cs="Times New Roman"/>
      </w:rPr>
    </w:lvl>
    <w:lvl w:ilvl="8" w:tplc="8AEE3E1E">
      <w:start w:val="1"/>
      <w:numFmt w:val="decimal"/>
      <w:lvlText w:val=""/>
      <w:lvlJc w:val="left"/>
      <w:pPr>
        <w:ind w:left="0" w:firstLine="0"/>
      </w:pPr>
      <w:rPr>
        <w:rFonts w:cs="Times New Roman"/>
      </w:rPr>
    </w:lvl>
  </w:abstractNum>
  <w:abstractNum w:abstractNumId="21">
    <w:nsid w:val="408E4F24"/>
    <w:multiLevelType w:val="hybridMultilevel"/>
    <w:tmpl w:val="E150396E"/>
    <w:lvl w:ilvl="0" w:tplc="7F08CA8A">
      <w:start w:val="1"/>
      <w:numFmt w:val="decimal"/>
      <w:lvlText w:val="%1."/>
      <w:lvlJc w:val="left"/>
      <w:pPr>
        <w:ind w:left="1211" w:hanging="360"/>
      </w:pPr>
      <w:rPr>
        <w:rFonts w:hint="default"/>
      </w:rPr>
    </w:lvl>
    <w:lvl w:ilvl="1" w:tplc="87A2CD00">
      <w:start w:val="1"/>
      <w:numFmt w:val="lowerLetter"/>
      <w:lvlText w:val="%2."/>
      <w:lvlJc w:val="left"/>
      <w:pPr>
        <w:ind w:left="1931" w:hanging="360"/>
      </w:pPr>
    </w:lvl>
    <w:lvl w:ilvl="2" w:tplc="22629016">
      <w:start w:val="1"/>
      <w:numFmt w:val="lowerRoman"/>
      <w:lvlText w:val="%3."/>
      <w:lvlJc w:val="right"/>
      <w:pPr>
        <w:ind w:left="2651" w:hanging="180"/>
      </w:pPr>
    </w:lvl>
    <w:lvl w:ilvl="3" w:tplc="4686D3D8">
      <w:start w:val="1"/>
      <w:numFmt w:val="decimal"/>
      <w:lvlText w:val="%4."/>
      <w:lvlJc w:val="left"/>
      <w:pPr>
        <w:ind w:left="3371" w:hanging="360"/>
      </w:pPr>
    </w:lvl>
    <w:lvl w:ilvl="4" w:tplc="C17EB1B8">
      <w:start w:val="1"/>
      <w:numFmt w:val="lowerLetter"/>
      <w:lvlText w:val="%5."/>
      <w:lvlJc w:val="left"/>
      <w:pPr>
        <w:ind w:left="4091" w:hanging="360"/>
      </w:pPr>
    </w:lvl>
    <w:lvl w:ilvl="5" w:tplc="52C2363A">
      <w:start w:val="1"/>
      <w:numFmt w:val="lowerRoman"/>
      <w:lvlText w:val="%6."/>
      <w:lvlJc w:val="right"/>
      <w:pPr>
        <w:ind w:left="4811" w:hanging="180"/>
      </w:pPr>
    </w:lvl>
    <w:lvl w:ilvl="6" w:tplc="A4E0D2FE">
      <w:start w:val="1"/>
      <w:numFmt w:val="decimal"/>
      <w:lvlText w:val="%7."/>
      <w:lvlJc w:val="left"/>
      <w:pPr>
        <w:ind w:left="5531" w:hanging="360"/>
      </w:pPr>
    </w:lvl>
    <w:lvl w:ilvl="7" w:tplc="F6CECBB6">
      <w:start w:val="1"/>
      <w:numFmt w:val="lowerLetter"/>
      <w:lvlText w:val="%8."/>
      <w:lvlJc w:val="left"/>
      <w:pPr>
        <w:ind w:left="6251" w:hanging="360"/>
      </w:pPr>
    </w:lvl>
    <w:lvl w:ilvl="8" w:tplc="A21C7716">
      <w:start w:val="1"/>
      <w:numFmt w:val="lowerRoman"/>
      <w:lvlText w:val="%9."/>
      <w:lvlJc w:val="right"/>
      <w:pPr>
        <w:ind w:left="6971" w:hanging="180"/>
      </w:pPr>
    </w:lvl>
  </w:abstractNum>
  <w:abstractNum w:abstractNumId="22">
    <w:nsid w:val="41687D34"/>
    <w:multiLevelType w:val="hybridMultilevel"/>
    <w:tmpl w:val="FE5A6F82"/>
    <w:lvl w:ilvl="0" w:tplc="62781826">
      <w:start w:val="1"/>
      <w:numFmt w:val="decimal"/>
      <w:lvlText w:val="%1."/>
      <w:lvlJc w:val="left"/>
      <w:pPr>
        <w:ind w:left="1759" w:hanging="1050"/>
      </w:pPr>
      <w:rPr>
        <w:rFonts w:hint="default"/>
      </w:rPr>
    </w:lvl>
    <w:lvl w:ilvl="1" w:tplc="AB5EAF82">
      <w:start w:val="1"/>
      <w:numFmt w:val="lowerLetter"/>
      <w:lvlText w:val="%2."/>
      <w:lvlJc w:val="left"/>
      <w:pPr>
        <w:ind w:left="1789" w:hanging="360"/>
      </w:pPr>
    </w:lvl>
    <w:lvl w:ilvl="2" w:tplc="A774A220">
      <w:start w:val="1"/>
      <w:numFmt w:val="lowerRoman"/>
      <w:lvlText w:val="%3."/>
      <w:lvlJc w:val="right"/>
      <w:pPr>
        <w:ind w:left="2509" w:hanging="180"/>
      </w:pPr>
    </w:lvl>
    <w:lvl w:ilvl="3" w:tplc="2C447324">
      <w:start w:val="1"/>
      <w:numFmt w:val="decimal"/>
      <w:lvlText w:val="%4."/>
      <w:lvlJc w:val="left"/>
      <w:pPr>
        <w:ind w:left="3229" w:hanging="360"/>
      </w:pPr>
    </w:lvl>
    <w:lvl w:ilvl="4" w:tplc="989E51BC">
      <w:start w:val="1"/>
      <w:numFmt w:val="lowerLetter"/>
      <w:lvlText w:val="%5."/>
      <w:lvlJc w:val="left"/>
      <w:pPr>
        <w:ind w:left="3949" w:hanging="360"/>
      </w:pPr>
    </w:lvl>
    <w:lvl w:ilvl="5" w:tplc="28303320">
      <w:start w:val="1"/>
      <w:numFmt w:val="lowerRoman"/>
      <w:lvlText w:val="%6."/>
      <w:lvlJc w:val="right"/>
      <w:pPr>
        <w:ind w:left="4669" w:hanging="180"/>
      </w:pPr>
    </w:lvl>
    <w:lvl w:ilvl="6" w:tplc="A7D89BCE">
      <w:start w:val="1"/>
      <w:numFmt w:val="decimal"/>
      <w:lvlText w:val="%7."/>
      <w:lvlJc w:val="left"/>
      <w:pPr>
        <w:ind w:left="5389" w:hanging="360"/>
      </w:pPr>
    </w:lvl>
    <w:lvl w:ilvl="7" w:tplc="A8DEFC74">
      <w:start w:val="1"/>
      <w:numFmt w:val="lowerLetter"/>
      <w:lvlText w:val="%8."/>
      <w:lvlJc w:val="left"/>
      <w:pPr>
        <w:ind w:left="6109" w:hanging="360"/>
      </w:pPr>
    </w:lvl>
    <w:lvl w:ilvl="8" w:tplc="7DDE506C">
      <w:start w:val="1"/>
      <w:numFmt w:val="lowerRoman"/>
      <w:lvlText w:val="%9."/>
      <w:lvlJc w:val="right"/>
      <w:pPr>
        <w:ind w:left="6829" w:hanging="180"/>
      </w:pPr>
    </w:lvl>
  </w:abstractNum>
  <w:abstractNum w:abstractNumId="23">
    <w:nsid w:val="43247388"/>
    <w:multiLevelType w:val="hybridMultilevel"/>
    <w:tmpl w:val="FEE68962"/>
    <w:lvl w:ilvl="0" w:tplc="E6D04108">
      <w:start w:val="2015"/>
      <w:numFmt w:val="decimal"/>
      <w:lvlText w:val="%1"/>
      <w:lvlJc w:val="left"/>
      <w:pPr>
        <w:ind w:left="1309" w:hanging="600"/>
      </w:pPr>
      <w:rPr>
        <w:rFonts w:hint="default"/>
      </w:rPr>
    </w:lvl>
    <w:lvl w:ilvl="1" w:tplc="50C4BD80">
      <w:start w:val="1"/>
      <w:numFmt w:val="lowerLetter"/>
      <w:lvlText w:val="%2."/>
      <w:lvlJc w:val="left"/>
      <w:pPr>
        <w:ind w:left="1789" w:hanging="360"/>
      </w:pPr>
    </w:lvl>
    <w:lvl w:ilvl="2" w:tplc="8228A4F8">
      <w:start w:val="1"/>
      <w:numFmt w:val="lowerRoman"/>
      <w:lvlText w:val="%3."/>
      <w:lvlJc w:val="right"/>
      <w:pPr>
        <w:ind w:left="2509" w:hanging="180"/>
      </w:pPr>
    </w:lvl>
    <w:lvl w:ilvl="3" w:tplc="68863EC8">
      <w:start w:val="1"/>
      <w:numFmt w:val="decimal"/>
      <w:lvlText w:val="%4."/>
      <w:lvlJc w:val="left"/>
      <w:pPr>
        <w:ind w:left="3229" w:hanging="360"/>
      </w:pPr>
    </w:lvl>
    <w:lvl w:ilvl="4" w:tplc="DF28A90C">
      <w:start w:val="1"/>
      <w:numFmt w:val="lowerLetter"/>
      <w:lvlText w:val="%5."/>
      <w:lvlJc w:val="left"/>
      <w:pPr>
        <w:ind w:left="3949" w:hanging="360"/>
      </w:pPr>
    </w:lvl>
    <w:lvl w:ilvl="5" w:tplc="A782BDFC">
      <w:start w:val="1"/>
      <w:numFmt w:val="lowerRoman"/>
      <w:lvlText w:val="%6."/>
      <w:lvlJc w:val="right"/>
      <w:pPr>
        <w:ind w:left="4669" w:hanging="180"/>
      </w:pPr>
    </w:lvl>
    <w:lvl w:ilvl="6" w:tplc="FF308E12">
      <w:start w:val="1"/>
      <w:numFmt w:val="decimal"/>
      <w:lvlText w:val="%7."/>
      <w:lvlJc w:val="left"/>
      <w:pPr>
        <w:ind w:left="5389" w:hanging="360"/>
      </w:pPr>
    </w:lvl>
    <w:lvl w:ilvl="7" w:tplc="F0E62F00">
      <w:start w:val="1"/>
      <w:numFmt w:val="lowerLetter"/>
      <w:lvlText w:val="%8."/>
      <w:lvlJc w:val="left"/>
      <w:pPr>
        <w:ind w:left="6109" w:hanging="360"/>
      </w:pPr>
    </w:lvl>
    <w:lvl w:ilvl="8" w:tplc="9D986816">
      <w:start w:val="1"/>
      <w:numFmt w:val="lowerRoman"/>
      <w:lvlText w:val="%9."/>
      <w:lvlJc w:val="right"/>
      <w:pPr>
        <w:ind w:left="6829" w:hanging="180"/>
      </w:pPr>
    </w:lvl>
  </w:abstractNum>
  <w:abstractNum w:abstractNumId="24">
    <w:nsid w:val="46C12BBD"/>
    <w:multiLevelType w:val="hybridMultilevel"/>
    <w:tmpl w:val="5264588A"/>
    <w:lvl w:ilvl="0" w:tplc="25B884BC">
      <w:start w:val="1"/>
      <w:numFmt w:val="decimal"/>
      <w:lvlText w:val="%1)"/>
      <w:lvlJc w:val="left"/>
      <w:pPr>
        <w:ind w:left="1069" w:hanging="360"/>
      </w:pPr>
      <w:rPr>
        <w:rFonts w:hint="default"/>
      </w:rPr>
    </w:lvl>
    <w:lvl w:ilvl="1" w:tplc="BD74BB52">
      <w:start w:val="1"/>
      <w:numFmt w:val="lowerLetter"/>
      <w:lvlText w:val="%2."/>
      <w:lvlJc w:val="left"/>
      <w:pPr>
        <w:ind w:left="1789" w:hanging="360"/>
      </w:pPr>
    </w:lvl>
    <w:lvl w:ilvl="2" w:tplc="C624E8DC">
      <w:start w:val="1"/>
      <w:numFmt w:val="lowerRoman"/>
      <w:lvlText w:val="%3."/>
      <w:lvlJc w:val="right"/>
      <w:pPr>
        <w:ind w:left="2509" w:hanging="180"/>
      </w:pPr>
    </w:lvl>
    <w:lvl w:ilvl="3" w:tplc="CFC2CE64">
      <w:start w:val="1"/>
      <w:numFmt w:val="decimal"/>
      <w:lvlText w:val="%4."/>
      <w:lvlJc w:val="left"/>
      <w:pPr>
        <w:ind w:left="3229" w:hanging="360"/>
      </w:pPr>
    </w:lvl>
    <w:lvl w:ilvl="4" w:tplc="6F6E649A">
      <w:start w:val="1"/>
      <w:numFmt w:val="lowerLetter"/>
      <w:lvlText w:val="%5."/>
      <w:lvlJc w:val="left"/>
      <w:pPr>
        <w:ind w:left="3949" w:hanging="360"/>
      </w:pPr>
    </w:lvl>
    <w:lvl w:ilvl="5" w:tplc="EFD8F3A6">
      <w:start w:val="1"/>
      <w:numFmt w:val="lowerRoman"/>
      <w:lvlText w:val="%6."/>
      <w:lvlJc w:val="right"/>
      <w:pPr>
        <w:ind w:left="4669" w:hanging="180"/>
      </w:pPr>
    </w:lvl>
    <w:lvl w:ilvl="6" w:tplc="B6D48C9C">
      <w:start w:val="1"/>
      <w:numFmt w:val="decimal"/>
      <w:lvlText w:val="%7."/>
      <w:lvlJc w:val="left"/>
      <w:pPr>
        <w:ind w:left="5389" w:hanging="360"/>
      </w:pPr>
    </w:lvl>
    <w:lvl w:ilvl="7" w:tplc="AE0C7CCA">
      <w:start w:val="1"/>
      <w:numFmt w:val="lowerLetter"/>
      <w:lvlText w:val="%8."/>
      <w:lvlJc w:val="left"/>
      <w:pPr>
        <w:ind w:left="6109" w:hanging="360"/>
      </w:pPr>
    </w:lvl>
    <w:lvl w:ilvl="8" w:tplc="B38A29E4">
      <w:start w:val="1"/>
      <w:numFmt w:val="lowerRoman"/>
      <w:lvlText w:val="%9."/>
      <w:lvlJc w:val="right"/>
      <w:pPr>
        <w:ind w:left="6829" w:hanging="180"/>
      </w:pPr>
    </w:lvl>
  </w:abstractNum>
  <w:abstractNum w:abstractNumId="25">
    <w:nsid w:val="4B110B7F"/>
    <w:multiLevelType w:val="hybridMultilevel"/>
    <w:tmpl w:val="647A0F5C"/>
    <w:lvl w:ilvl="0" w:tplc="B5D2A5E4">
      <w:start w:val="1"/>
      <w:numFmt w:val="decimal"/>
      <w:lvlText w:val="%1."/>
      <w:lvlJc w:val="left"/>
      <w:pPr>
        <w:ind w:left="1211" w:hanging="360"/>
      </w:pPr>
      <w:rPr>
        <w:rFonts w:hint="default"/>
      </w:rPr>
    </w:lvl>
    <w:lvl w:ilvl="1" w:tplc="AB28AEB6">
      <w:start w:val="1"/>
      <w:numFmt w:val="lowerLetter"/>
      <w:lvlText w:val="%2."/>
      <w:lvlJc w:val="left"/>
      <w:pPr>
        <w:ind w:left="1931" w:hanging="360"/>
      </w:pPr>
    </w:lvl>
    <w:lvl w:ilvl="2" w:tplc="0FEC3E92">
      <w:start w:val="1"/>
      <w:numFmt w:val="lowerRoman"/>
      <w:lvlText w:val="%3."/>
      <w:lvlJc w:val="right"/>
      <w:pPr>
        <w:ind w:left="2651" w:hanging="180"/>
      </w:pPr>
    </w:lvl>
    <w:lvl w:ilvl="3" w:tplc="D84C90C8">
      <w:start w:val="1"/>
      <w:numFmt w:val="decimal"/>
      <w:lvlText w:val="%4."/>
      <w:lvlJc w:val="left"/>
      <w:pPr>
        <w:ind w:left="3371" w:hanging="360"/>
      </w:pPr>
    </w:lvl>
    <w:lvl w:ilvl="4" w:tplc="E00254DA">
      <w:start w:val="1"/>
      <w:numFmt w:val="lowerLetter"/>
      <w:lvlText w:val="%5."/>
      <w:lvlJc w:val="left"/>
      <w:pPr>
        <w:ind w:left="4091" w:hanging="360"/>
      </w:pPr>
    </w:lvl>
    <w:lvl w:ilvl="5" w:tplc="80C472CE">
      <w:start w:val="1"/>
      <w:numFmt w:val="lowerRoman"/>
      <w:lvlText w:val="%6."/>
      <w:lvlJc w:val="right"/>
      <w:pPr>
        <w:ind w:left="4811" w:hanging="180"/>
      </w:pPr>
    </w:lvl>
    <w:lvl w:ilvl="6" w:tplc="C4BE2C6E">
      <w:start w:val="1"/>
      <w:numFmt w:val="decimal"/>
      <w:lvlText w:val="%7."/>
      <w:lvlJc w:val="left"/>
      <w:pPr>
        <w:ind w:left="5531" w:hanging="360"/>
      </w:pPr>
    </w:lvl>
    <w:lvl w:ilvl="7" w:tplc="F69A0EFE">
      <w:start w:val="1"/>
      <w:numFmt w:val="lowerLetter"/>
      <w:lvlText w:val="%8."/>
      <w:lvlJc w:val="left"/>
      <w:pPr>
        <w:ind w:left="6251" w:hanging="360"/>
      </w:pPr>
    </w:lvl>
    <w:lvl w:ilvl="8" w:tplc="A3C2B4B0">
      <w:start w:val="1"/>
      <w:numFmt w:val="lowerRoman"/>
      <w:lvlText w:val="%9."/>
      <w:lvlJc w:val="right"/>
      <w:pPr>
        <w:ind w:left="6971" w:hanging="180"/>
      </w:pPr>
    </w:lvl>
  </w:abstractNum>
  <w:abstractNum w:abstractNumId="26">
    <w:nsid w:val="4C8B2D8C"/>
    <w:multiLevelType w:val="hybridMultilevel"/>
    <w:tmpl w:val="22069DD0"/>
    <w:lvl w:ilvl="0" w:tplc="B06EDC24">
      <w:start w:val="1"/>
      <w:numFmt w:val="decimal"/>
      <w:lvlText w:val="%1."/>
      <w:lvlJc w:val="left"/>
      <w:pPr>
        <w:ind w:left="1571" w:hanging="360"/>
      </w:pPr>
      <w:rPr>
        <w:rFonts w:hint="default"/>
      </w:rPr>
    </w:lvl>
    <w:lvl w:ilvl="1" w:tplc="D7325690">
      <w:start w:val="1"/>
      <w:numFmt w:val="lowerLetter"/>
      <w:lvlText w:val="%2."/>
      <w:lvlJc w:val="left"/>
      <w:pPr>
        <w:ind w:left="1440" w:hanging="360"/>
      </w:pPr>
    </w:lvl>
    <w:lvl w:ilvl="2" w:tplc="32AC4366">
      <w:start w:val="1"/>
      <w:numFmt w:val="lowerRoman"/>
      <w:lvlText w:val="%3."/>
      <w:lvlJc w:val="right"/>
      <w:pPr>
        <w:ind w:left="2160" w:hanging="180"/>
      </w:pPr>
    </w:lvl>
    <w:lvl w:ilvl="3" w:tplc="272AF4D4">
      <w:start w:val="1"/>
      <w:numFmt w:val="decimal"/>
      <w:lvlText w:val="%4."/>
      <w:lvlJc w:val="left"/>
      <w:pPr>
        <w:ind w:left="2880" w:hanging="360"/>
      </w:pPr>
    </w:lvl>
    <w:lvl w:ilvl="4" w:tplc="2FE49280">
      <w:start w:val="1"/>
      <w:numFmt w:val="lowerLetter"/>
      <w:lvlText w:val="%5."/>
      <w:lvlJc w:val="left"/>
      <w:pPr>
        <w:ind w:left="3600" w:hanging="360"/>
      </w:pPr>
    </w:lvl>
    <w:lvl w:ilvl="5" w:tplc="BBCABB8C">
      <w:start w:val="1"/>
      <w:numFmt w:val="lowerRoman"/>
      <w:lvlText w:val="%6."/>
      <w:lvlJc w:val="right"/>
      <w:pPr>
        <w:ind w:left="4320" w:hanging="180"/>
      </w:pPr>
    </w:lvl>
    <w:lvl w:ilvl="6" w:tplc="99361906">
      <w:start w:val="1"/>
      <w:numFmt w:val="decimal"/>
      <w:lvlText w:val="%7."/>
      <w:lvlJc w:val="left"/>
      <w:pPr>
        <w:ind w:left="5040" w:hanging="360"/>
      </w:pPr>
    </w:lvl>
    <w:lvl w:ilvl="7" w:tplc="49BE8DD0">
      <w:start w:val="1"/>
      <w:numFmt w:val="lowerLetter"/>
      <w:lvlText w:val="%8."/>
      <w:lvlJc w:val="left"/>
      <w:pPr>
        <w:ind w:left="5760" w:hanging="360"/>
      </w:pPr>
    </w:lvl>
    <w:lvl w:ilvl="8" w:tplc="CAE8C40C">
      <w:start w:val="1"/>
      <w:numFmt w:val="lowerRoman"/>
      <w:lvlText w:val="%9."/>
      <w:lvlJc w:val="right"/>
      <w:pPr>
        <w:ind w:left="6480" w:hanging="180"/>
      </w:pPr>
    </w:lvl>
  </w:abstractNum>
  <w:abstractNum w:abstractNumId="27">
    <w:nsid w:val="4E641900"/>
    <w:multiLevelType w:val="hybridMultilevel"/>
    <w:tmpl w:val="9CDAE7EE"/>
    <w:lvl w:ilvl="0" w:tplc="3D705A00">
      <w:start w:val="1"/>
      <w:numFmt w:val="decimal"/>
      <w:lvlText w:val="%1."/>
      <w:lvlJc w:val="left"/>
      <w:pPr>
        <w:ind w:left="360" w:hanging="360"/>
      </w:pPr>
      <w:rPr>
        <w:rFonts w:hint="default"/>
      </w:rPr>
    </w:lvl>
    <w:lvl w:ilvl="1" w:tplc="04F0C70C">
      <w:start w:val="1"/>
      <w:numFmt w:val="lowerLetter"/>
      <w:lvlText w:val="%2."/>
      <w:lvlJc w:val="left"/>
      <w:pPr>
        <w:ind w:left="1080" w:hanging="360"/>
      </w:pPr>
    </w:lvl>
    <w:lvl w:ilvl="2" w:tplc="AC909236">
      <w:start w:val="1"/>
      <w:numFmt w:val="lowerRoman"/>
      <w:lvlText w:val="%3."/>
      <w:lvlJc w:val="right"/>
      <w:pPr>
        <w:ind w:left="1800" w:hanging="180"/>
      </w:pPr>
    </w:lvl>
    <w:lvl w:ilvl="3" w:tplc="BDDE8A0A">
      <w:start w:val="1"/>
      <w:numFmt w:val="decimal"/>
      <w:lvlText w:val="%4."/>
      <w:lvlJc w:val="left"/>
      <w:pPr>
        <w:ind w:left="2520" w:hanging="360"/>
      </w:pPr>
    </w:lvl>
    <w:lvl w:ilvl="4" w:tplc="0B5E679A">
      <w:start w:val="1"/>
      <w:numFmt w:val="lowerLetter"/>
      <w:lvlText w:val="%5."/>
      <w:lvlJc w:val="left"/>
      <w:pPr>
        <w:ind w:left="3240" w:hanging="360"/>
      </w:pPr>
    </w:lvl>
    <w:lvl w:ilvl="5" w:tplc="1E4CB7F4">
      <w:start w:val="1"/>
      <w:numFmt w:val="lowerRoman"/>
      <w:lvlText w:val="%6."/>
      <w:lvlJc w:val="right"/>
      <w:pPr>
        <w:ind w:left="3960" w:hanging="180"/>
      </w:pPr>
    </w:lvl>
    <w:lvl w:ilvl="6" w:tplc="8D965080">
      <w:start w:val="1"/>
      <w:numFmt w:val="decimal"/>
      <w:lvlText w:val="%7."/>
      <w:lvlJc w:val="left"/>
      <w:pPr>
        <w:ind w:left="4680" w:hanging="360"/>
      </w:pPr>
    </w:lvl>
    <w:lvl w:ilvl="7" w:tplc="8E54A3BA">
      <w:start w:val="1"/>
      <w:numFmt w:val="lowerLetter"/>
      <w:lvlText w:val="%8."/>
      <w:lvlJc w:val="left"/>
      <w:pPr>
        <w:ind w:left="5400" w:hanging="360"/>
      </w:pPr>
    </w:lvl>
    <w:lvl w:ilvl="8" w:tplc="A8625F38">
      <w:start w:val="1"/>
      <w:numFmt w:val="lowerRoman"/>
      <w:lvlText w:val="%9."/>
      <w:lvlJc w:val="right"/>
      <w:pPr>
        <w:ind w:left="6120" w:hanging="180"/>
      </w:pPr>
    </w:lvl>
  </w:abstractNum>
  <w:abstractNum w:abstractNumId="28">
    <w:nsid w:val="4E862048"/>
    <w:multiLevelType w:val="hybridMultilevel"/>
    <w:tmpl w:val="5A947368"/>
    <w:lvl w:ilvl="0" w:tplc="C840B448">
      <w:start w:val="1"/>
      <w:numFmt w:val="decimal"/>
      <w:lvlText w:val="%1."/>
      <w:lvlJc w:val="left"/>
      <w:pPr>
        <w:ind w:left="720" w:hanging="360"/>
      </w:pPr>
      <w:rPr>
        <w:rFonts w:hint="default"/>
      </w:rPr>
    </w:lvl>
    <w:lvl w:ilvl="1" w:tplc="C7D82AC6">
      <w:start w:val="1"/>
      <w:numFmt w:val="lowerLetter"/>
      <w:lvlText w:val="%2."/>
      <w:lvlJc w:val="left"/>
      <w:pPr>
        <w:ind w:left="1440" w:hanging="360"/>
      </w:pPr>
    </w:lvl>
    <w:lvl w:ilvl="2" w:tplc="6028676E">
      <w:start w:val="1"/>
      <w:numFmt w:val="lowerRoman"/>
      <w:lvlText w:val="%3."/>
      <w:lvlJc w:val="right"/>
      <w:pPr>
        <w:ind w:left="2160" w:hanging="180"/>
      </w:pPr>
    </w:lvl>
    <w:lvl w:ilvl="3" w:tplc="85CC7214">
      <w:start w:val="1"/>
      <w:numFmt w:val="decimal"/>
      <w:lvlText w:val="%4."/>
      <w:lvlJc w:val="left"/>
      <w:pPr>
        <w:ind w:left="2880" w:hanging="360"/>
      </w:pPr>
    </w:lvl>
    <w:lvl w:ilvl="4" w:tplc="C936B0AC">
      <w:start w:val="1"/>
      <w:numFmt w:val="lowerLetter"/>
      <w:lvlText w:val="%5."/>
      <w:lvlJc w:val="left"/>
      <w:pPr>
        <w:ind w:left="3600" w:hanging="360"/>
      </w:pPr>
    </w:lvl>
    <w:lvl w:ilvl="5" w:tplc="5B507FB6">
      <w:start w:val="1"/>
      <w:numFmt w:val="lowerRoman"/>
      <w:lvlText w:val="%6."/>
      <w:lvlJc w:val="right"/>
      <w:pPr>
        <w:ind w:left="4320" w:hanging="180"/>
      </w:pPr>
    </w:lvl>
    <w:lvl w:ilvl="6" w:tplc="DE40C430">
      <w:start w:val="1"/>
      <w:numFmt w:val="decimal"/>
      <w:lvlText w:val="%7."/>
      <w:lvlJc w:val="left"/>
      <w:pPr>
        <w:ind w:left="5040" w:hanging="360"/>
      </w:pPr>
    </w:lvl>
    <w:lvl w:ilvl="7" w:tplc="02468E66">
      <w:start w:val="1"/>
      <w:numFmt w:val="lowerLetter"/>
      <w:lvlText w:val="%8."/>
      <w:lvlJc w:val="left"/>
      <w:pPr>
        <w:ind w:left="5760" w:hanging="360"/>
      </w:pPr>
    </w:lvl>
    <w:lvl w:ilvl="8" w:tplc="8AEAA882">
      <w:start w:val="1"/>
      <w:numFmt w:val="lowerRoman"/>
      <w:lvlText w:val="%9."/>
      <w:lvlJc w:val="right"/>
      <w:pPr>
        <w:ind w:left="6480" w:hanging="180"/>
      </w:pPr>
    </w:lvl>
  </w:abstractNum>
  <w:abstractNum w:abstractNumId="29">
    <w:nsid w:val="52C338DE"/>
    <w:multiLevelType w:val="hybridMultilevel"/>
    <w:tmpl w:val="CB74C5F6"/>
    <w:lvl w:ilvl="0" w:tplc="15303A24">
      <w:start w:val="1"/>
      <w:numFmt w:val="decimal"/>
      <w:lvlText w:val="%1."/>
      <w:lvlJc w:val="left"/>
      <w:pPr>
        <w:ind w:left="1759" w:hanging="1050"/>
      </w:pPr>
      <w:rPr>
        <w:rFonts w:hint="default"/>
      </w:rPr>
    </w:lvl>
    <w:lvl w:ilvl="1" w:tplc="C700BF72">
      <w:start w:val="1"/>
      <w:numFmt w:val="lowerLetter"/>
      <w:lvlText w:val="%2."/>
      <w:lvlJc w:val="left"/>
      <w:pPr>
        <w:ind w:left="1789" w:hanging="360"/>
      </w:pPr>
    </w:lvl>
    <w:lvl w:ilvl="2" w:tplc="FEBE5448">
      <w:start w:val="1"/>
      <w:numFmt w:val="lowerRoman"/>
      <w:lvlText w:val="%3."/>
      <w:lvlJc w:val="right"/>
      <w:pPr>
        <w:ind w:left="2509" w:hanging="180"/>
      </w:pPr>
    </w:lvl>
    <w:lvl w:ilvl="3" w:tplc="E25459A2">
      <w:start w:val="1"/>
      <w:numFmt w:val="decimal"/>
      <w:lvlText w:val="%4."/>
      <w:lvlJc w:val="left"/>
      <w:pPr>
        <w:ind w:left="3229" w:hanging="360"/>
      </w:pPr>
    </w:lvl>
    <w:lvl w:ilvl="4" w:tplc="108C1266">
      <w:start w:val="1"/>
      <w:numFmt w:val="lowerLetter"/>
      <w:lvlText w:val="%5."/>
      <w:lvlJc w:val="left"/>
      <w:pPr>
        <w:ind w:left="3949" w:hanging="360"/>
      </w:pPr>
    </w:lvl>
    <w:lvl w:ilvl="5" w:tplc="330CCC80">
      <w:start w:val="1"/>
      <w:numFmt w:val="lowerRoman"/>
      <w:lvlText w:val="%6."/>
      <w:lvlJc w:val="right"/>
      <w:pPr>
        <w:ind w:left="4669" w:hanging="180"/>
      </w:pPr>
    </w:lvl>
    <w:lvl w:ilvl="6" w:tplc="D284B1DC">
      <w:start w:val="1"/>
      <w:numFmt w:val="decimal"/>
      <w:lvlText w:val="%7."/>
      <w:lvlJc w:val="left"/>
      <w:pPr>
        <w:ind w:left="5389" w:hanging="360"/>
      </w:pPr>
    </w:lvl>
    <w:lvl w:ilvl="7" w:tplc="FB441818">
      <w:start w:val="1"/>
      <w:numFmt w:val="lowerLetter"/>
      <w:lvlText w:val="%8."/>
      <w:lvlJc w:val="left"/>
      <w:pPr>
        <w:ind w:left="6109" w:hanging="360"/>
      </w:pPr>
    </w:lvl>
    <w:lvl w:ilvl="8" w:tplc="BDF6FBA4">
      <w:start w:val="1"/>
      <w:numFmt w:val="lowerRoman"/>
      <w:lvlText w:val="%9."/>
      <w:lvlJc w:val="right"/>
      <w:pPr>
        <w:ind w:left="6829" w:hanging="180"/>
      </w:pPr>
    </w:lvl>
  </w:abstractNum>
  <w:abstractNum w:abstractNumId="30">
    <w:nsid w:val="55EB6A69"/>
    <w:multiLevelType w:val="hybridMultilevel"/>
    <w:tmpl w:val="22801546"/>
    <w:lvl w:ilvl="0" w:tplc="84E251B4">
      <w:start w:val="1"/>
      <w:numFmt w:val="decimal"/>
      <w:lvlText w:val="%1."/>
      <w:lvlJc w:val="left"/>
      <w:pPr>
        <w:ind w:left="1069" w:hanging="360"/>
      </w:pPr>
      <w:rPr>
        <w:rFonts w:hint="default"/>
      </w:rPr>
    </w:lvl>
    <w:lvl w:ilvl="1" w:tplc="C4B84372">
      <w:start w:val="1"/>
      <w:numFmt w:val="lowerLetter"/>
      <w:lvlText w:val="%2."/>
      <w:lvlJc w:val="left"/>
      <w:pPr>
        <w:ind w:left="1789" w:hanging="360"/>
      </w:pPr>
    </w:lvl>
    <w:lvl w:ilvl="2" w:tplc="BF6E97E8">
      <w:start w:val="1"/>
      <w:numFmt w:val="lowerRoman"/>
      <w:lvlText w:val="%3."/>
      <w:lvlJc w:val="right"/>
      <w:pPr>
        <w:ind w:left="2509" w:hanging="180"/>
      </w:pPr>
    </w:lvl>
    <w:lvl w:ilvl="3" w:tplc="22EC2936">
      <w:start w:val="1"/>
      <w:numFmt w:val="decimal"/>
      <w:lvlText w:val="%4."/>
      <w:lvlJc w:val="left"/>
      <w:pPr>
        <w:ind w:left="3229" w:hanging="360"/>
      </w:pPr>
    </w:lvl>
    <w:lvl w:ilvl="4" w:tplc="6E10F896">
      <w:start w:val="1"/>
      <w:numFmt w:val="lowerLetter"/>
      <w:lvlText w:val="%5."/>
      <w:lvlJc w:val="left"/>
      <w:pPr>
        <w:ind w:left="3949" w:hanging="360"/>
      </w:pPr>
    </w:lvl>
    <w:lvl w:ilvl="5" w:tplc="3370B046">
      <w:start w:val="1"/>
      <w:numFmt w:val="lowerRoman"/>
      <w:lvlText w:val="%6."/>
      <w:lvlJc w:val="right"/>
      <w:pPr>
        <w:ind w:left="4669" w:hanging="180"/>
      </w:pPr>
    </w:lvl>
    <w:lvl w:ilvl="6" w:tplc="126CFB48">
      <w:start w:val="1"/>
      <w:numFmt w:val="decimal"/>
      <w:lvlText w:val="%7."/>
      <w:lvlJc w:val="left"/>
      <w:pPr>
        <w:ind w:left="5389" w:hanging="360"/>
      </w:pPr>
    </w:lvl>
    <w:lvl w:ilvl="7" w:tplc="8AAA3280">
      <w:start w:val="1"/>
      <w:numFmt w:val="lowerLetter"/>
      <w:lvlText w:val="%8."/>
      <w:lvlJc w:val="left"/>
      <w:pPr>
        <w:ind w:left="6109" w:hanging="360"/>
      </w:pPr>
    </w:lvl>
    <w:lvl w:ilvl="8" w:tplc="C1E4E918">
      <w:start w:val="1"/>
      <w:numFmt w:val="lowerRoman"/>
      <w:lvlText w:val="%9."/>
      <w:lvlJc w:val="right"/>
      <w:pPr>
        <w:ind w:left="6829" w:hanging="180"/>
      </w:pPr>
    </w:lvl>
  </w:abstractNum>
  <w:abstractNum w:abstractNumId="31">
    <w:nsid w:val="573C5CBA"/>
    <w:multiLevelType w:val="hybridMultilevel"/>
    <w:tmpl w:val="16B8E714"/>
    <w:lvl w:ilvl="0" w:tplc="95AA06FA">
      <w:start w:val="1"/>
      <w:numFmt w:val="decimal"/>
      <w:lvlText w:val="%1."/>
      <w:lvlJc w:val="left"/>
      <w:pPr>
        <w:ind w:left="1211" w:hanging="360"/>
      </w:pPr>
      <w:rPr>
        <w:rFonts w:hint="default"/>
      </w:rPr>
    </w:lvl>
    <w:lvl w:ilvl="1" w:tplc="0ED6A8AC">
      <w:start w:val="1"/>
      <w:numFmt w:val="lowerLetter"/>
      <w:lvlText w:val="%2."/>
      <w:lvlJc w:val="left"/>
      <w:pPr>
        <w:ind w:left="1931" w:hanging="360"/>
      </w:pPr>
    </w:lvl>
    <w:lvl w:ilvl="2" w:tplc="4328CE88">
      <w:start w:val="1"/>
      <w:numFmt w:val="lowerRoman"/>
      <w:lvlText w:val="%3."/>
      <w:lvlJc w:val="right"/>
      <w:pPr>
        <w:ind w:left="2651" w:hanging="180"/>
      </w:pPr>
    </w:lvl>
    <w:lvl w:ilvl="3" w:tplc="DF880210">
      <w:start w:val="1"/>
      <w:numFmt w:val="decimal"/>
      <w:lvlText w:val="%4."/>
      <w:lvlJc w:val="left"/>
      <w:pPr>
        <w:ind w:left="3371" w:hanging="360"/>
      </w:pPr>
    </w:lvl>
    <w:lvl w:ilvl="4" w:tplc="A322FCFA">
      <w:start w:val="1"/>
      <w:numFmt w:val="lowerLetter"/>
      <w:lvlText w:val="%5."/>
      <w:lvlJc w:val="left"/>
      <w:pPr>
        <w:ind w:left="4091" w:hanging="360"/>
      </w:pPr>
    </w:lvl>
    <w:lvl w:ilvl="5" w:tplc="A71C63F0">
      <w:start w:val="1"/>
      <w:numFmt w:val="lowerRoman"/>
      <w:lvlText w:val="%6."/>
      <w:lvlJc w:val="right"/>
      <w:pPr>
        <w:ind w:left="4811" w:hanging="180"/>
      </w:pPr>
    </w:lvl>
    <w:lvl w:ilvl="6" w:tplc="830E12A2">
      <w:start w:val="1"/>
      <w:numFmt w:val="decimal"/>
      <w:lvlText w:val="%7."/>
      <w:lvlJc w:val="left"/>
      <w:pPr>
        <w:ind w:left="5531" w:hanging="360"/>
      </w:pPr>
    </w:lvl>
    <w:lvl w:ilvl="7" w:tplc="4D22753A">
      <w:start w:val="1"/>
      <w:numFmt w:val="lowerLetter"/>
      <w:lvlText w:val="%8."/>
      <w:lvlJc w:val="left"/>
      <w:pPr>
        <w:ind w:left="6251" w:hanging="360"/>
      </w:pPr>
    </w:lvl>
    <w:lvl w:ilvl="8" w:tplc="CF22DCBE">
      <w:start w:val="1"/>
      <w:numFmt w:val="lowerRoman"/>
      <w:lvlText w:val="%9."/>
      <w:lvlJc w:val="right"/>
      <w:pPr>
        <w:ind w:left="6971" w:hanging="180"/>
      </w:pPr>
    </w:lvl>
  </w:abstractNum>
  <w:abstractNum w:abstractNumId="32">
    <w:nsid w:val="5F6205A4"/>
    <w:multiLevelType w:val="hybridMultilevel"/>
    <w:tmpl w:val="3ED49D42"/>
    <w:lvl w:ilvl="0" w:tplc="9A6E1880">
      <w:start w:val="1"/>
      <w:numFmt w:val="decimal"/>
      <w:lvlText w:val="%1."/>
      <w:lvlJc w:val="left"/>
      <w:pPr>
        <w:ind w:left="1069" w:hanging="360"/>
      </w:pPr>
      <w:rPr>
        <w:rFonts w:hint="default"/>
      </w:rPr>
    </w:lvl>
    <w:lvl w:ilvl="1" w:tplc="534E3590">
      <w:start w:val="1"/>
      <w:numFmt w:val="lowerLetter"/>
      <w:lvlText w:val="%2."/>
      <w:lvlJc w:val="left"/>
      <w:pPr>
        <w:ind w:left="1789" w:hanging="360"/>
      </w:pPr>
    </w:lvl>
    <w:lvl w:ilvl="2" w:tplc="48182984">
      <w:start w:val="1"/>
      <w:numFmt w:val="lowerRoman"/>
      <w:lvlText w:val="%3."/>
      <w:lvlJc w:val="right"/>
      <w:pPr>
        <w:ind w:left="2509" w:hanging="180"/>
      </w:pPr>
    </w:lvl>
    <w:lvl w:ilvl="3" w:tplc="29621172">
      <w:start w:val="1"/>
      <w:numFmt w:val="decimal"/>
      <w:lvlText w:val="%4."/>
      <w:lvlJc w:val="left"/>
      <w:pPr>
        <w:ind w:left="3229" w:hanging="360"/>
      </w:pPr>
    </w:lvl>
    <w:lvl w:ilvl="4" w:tplc="A76EC064">
      <w:start w:val="1"/>
      <w:numFmt w:val="lowerLetter"/>
      <w:lvlText w:val="%5."/>
      <w:lvlJc w:val="left"/>
      <w:pPr>
        <w:ind w:left="3949" w:hanging="360"/>
      </w:pPr>
    </w:lvl>
    <w:lvl w:ilvl="5" w:tplc="678852FE">
      <w:start w:val="1"/>
      <w:numFmt w:val="lowerRoman"/>
      <w:lvlText w:val="%6."/>
      <w:lvlJc w:val="right"/>
      <w:pPr>
        <w:ind w:left="4669" w:hanging="180"/>
      </w:pPr>
    </w:lvl>
    <w:lvl w:ilvl="6" w:tplc="2BE0ACB4">
      <w:start w:val="1"/>
      <w:numFmt w:val="decimal"/>
      <w:lvlText w:val="%7."/>
      <w:lvlJc w:val="left"/>
      <w:pPr>
        <w:ind w:left="5389" w:hanging="360"/>
      </w:pPr>
    </w:lvl>
    <w:lvl w:ilvl="7" w:tplc="E74A91CC">
      <w:start w:val="1"/>
      <w:numFmt w:val="lowerLetter"/>
      <w:lvlText w:val="%8."/>
      <w:lvlJc w:val="left"/>
      <w:pPr>
        <w:ind w:left="6109" w:hanging="360"/>
      </w:pPr>
    </w:lvl>
    <w:lvl w:ilvl="8" w:tplc="B472EADE">
      <w:start w:val="1"/>
      <w:numFmt w:val="lowerRoman"/>
      <w:lvlText w:val="%9."/>
      <w:lvlJc w:val="right"/>
      <w:pPr>
        <w:ind w:left="6829" w:hanging="180"/>
      </w:pPr>
    </w:lvl>
  </w:abstractNum>
  <w:abstractNum w:abstractNumId="33">
    <w:nsid w:val="612D46D9"/>
    <w:multiLevelType w:val="hybridMultilevel"/>
    <w:tmpl w:val="6C987E56"/>
    <w:lvl w:ilvl="0" w:tplc="12301056">
      <w:start w:val="1"/>
      <w:numFmt w:val="decimal"/>
      <w:lvlText w:val="%1)"/>
      <w:lvlJc w:val="left"/>
      <w:pPr>
        <w:ind w:left="1418" w:hanging="360"/>
      </w:pPr>
    </w:lvl>
    <w:lvl w:ilvl="1" w:tplc="1AA228EA">
      <w:start w:val="1"/>
      <w:numFmt w:val="lowerLetter"/>
      <w:lvlText w:val="%2."/>
      <w:lvlJc w:val="left"/>
      <w:pPr>
        <w:ind w:left="2138" w:hanging="360"/>
      </w:pPr>
    </w:lvl>
    <w:lvl w:ilvl="2" w:tplc="E2A2DB2C">
      <w:start w:val="1"/>
      <w:numFmt w:val="lowerRoman"/>
      <w:lvlText w:val="%3."/>
      <w:lvlJc w:val="right"/>
      <w:pPr>
        <w:ind w:left="2858" w:hanging="180"/>
      </w:pPr>
    </w:lvl>
    <w:lvl w:ilvl="3" w:tplc="E862B12A">
      <w:start w:val="1"/>
      <w:numFmt w:val="decimal"/>
      <w:lvlText w:val="%4."/>
      <w:lvlJc w:val="left"/>
      <w:pPr>
        <w:ind w:left="3578" w:hanging="360"/>
      </w:pPr>
    </w:lvl>
    <w:lvl w:ilvl="4" w:tplc="4DA87CD6">
      <w:start w:val="1"/>
      <w:numFmt w:val="lowerLetter"/>
      <w:lvlText w:val="%5."/>
      <w:lvlJc w:val="left"/>
      <w:pPr>
        <w:ind w:left="4298" w:hanging="360"/>
      </w:pPr>
    </w:lvl>
    <w:lvl w:ilvl="5" w:tplc="A148C864">
      <w:start w:val="1"/>
      <w:numFmt w:val="lowerRoman"/>
      <w:lvlText w:val="%6."/>
      <w:lvlJc w:val="right"/>
      <w:pPr>
        <w:ind w:left="5018" w:hanging="180"/>
      </w:pPr>
    </w:lvl>
    <w:lvl w:ilvl="6" w:tplc="2F5C46B6">
      <w:start w:val="1"/>
      <w:numFmt w:val="decimal"/>
      <w:lvlText w:val="%7."/>
      <w:lvlJc w:val="left"/>
      <w:pPr>
        <w:ind w:left="5738" w:hanging="360"/>
      </w:pPr>
    </w:lvl>
    <w:lvl w:ilvl="7" w:tplc="41F6DFAA">
      <w:start w:val="1"/>
      <w:numFmt w:val="lowerLetter"/>
      <w:lvlText w:val="%8."/>
      <w:lvlJc w:val="left"/>
      <w:pPr>
        <w:ind w:left="6458" w:hanging="360"/>
      </w:pPr>
    </w:lvl>
    <w:lvl w:ilvl="8" w:tplc="314452FE">
      <w:start w:val="1"/>
      <w:numFmt w:val="lowerRoman"/>
      <w:lvlText w:val="%9."/>
      <w:lvlJc w:val="right"/>
      <w:pPr>
        <w:ind w:left="7178" w:hanging="180"/>
      </w:pPr>
    </w:lvl>
  </w:abstractNum>
  <w:abstractNum w:abstractNumId="34">
    <w:nsid w:val="62F34D93"/>
    <w:multiLevelType w:val="hybridMultilevel"/>
    <w:tmpl w:val="6C1AAC84"/>
    <w:lvl w:ilvl="0" w:tplc="B5749A90">
      <w:start w:val="1"/>
      <w:numFmt w:val="bullet"/>
      <w:lvlText w:val=""/>
      <w:lvlJc w:val="left"/>
      <w:pPr>
        <w:ind w:left="720" w:hanging="360"/>
      </w:pPr>
      <w:rPr>
        <w:rFonts w:ascii="Symbol" w:hAnsi="Symbol" w:hint="default"/>
      </w:rPr>
    </w:lvl>
    <w:lvl w:ilvl="1" w:tplc="317AA624">
      <w:start w:val="1"/>
      <w:numFmt w:val="bullet"/>
      <w:lvlText w:val="o"/>
      <w:lvlJc w:val="left"/>
      <w:pPr>
        <w:ind w:left="1440" w:hanging="360"/>
      </w:pPr>
      <w:rPr>
        <w:rFonts w:ascii="Courier New" w:hAnsi="Courier New" w:cs="Courier New" w:hint="default"/>
      </w:rPr>
    </w:lvl>
    <w:lvl w:ilvl="2" w:tplc="401E13A6">
      <w:start w:val="1"/>
      <w:numFmt w:val="bullet"/>
      <w:lvlText w:val=""/>
      <w:lvlJc w:val="left"/>
      <w:pPr>
        <w:ind w:left="2160" w:hanging="360"/>
      </w:pPr>
      <w:rPr>
        <w:rFonts w:ascii="Wingdings" w:hAnsi="Wingdings" w:hint="default"/>
      </w:rPr>
    </w:lvl>
    <w:lvl w:ilvl="3" w:tplc="30FE0C82">
      <w:start w:val="1"/>
      <w:numFmt w:val="bullet"/>
      <w:lvlText w:val=""/>
      <w:lvlJc w:val="left"/>
      <w:pPr>
        <w:ind w:left="2880" w:hanging="360"/>
      </w:pPr>
      <w:rPr>
        <w:rFonts w:ascii="Symbol" w:hAnsi="Symbol" w:hint="default"/>
      </w:rPr>
    </w:lvl>
    <w:lvl w:ilvl="4" w:tplc="2496EA46">
      <w:start w:val="1"/>
      <w:numFmt w:val="bullet"/>
      <w:lvlText w:val="o"/>
      <w:lvlJc w:val="left"/>
      <w:pPr>
        <w:ind w:left="3600" w:hanging="360"/>
      </w:pPr>
      <w:rPr>
        <w:rFonts w:ascii="Courier New" w:hAnsi="Courier New" w:cs="Courier New" w:hint="default"/>
      </w:rPr>
    </w:lvl>
    <w:lvl w:ilvl="5" w:tplc="30709E8C">
      <w:start w:val="1"/>
      <w:numFmt w:val="bullet"/>
      <w:lvlText w:val=""/>
      <w:lvlJc w:val="left"/>
      <w:pPr>
        <w:ind w:left="4320" w:hanging="360"/>
      </w:pPr>
      <w:rPr>
        <w:rFonts w:ascii="Wingdings" w:hAnsi="Wingdings" w:hint="default"/>
      </w:rPr>
    </w:lvl>
    <w:lvl w:ilvl="6" w:tplc="E7E6216A">
      <w:start w:val="1"/>
      <w:numFmt w:val="bullet"/>
      <w:lvlText w:val=""/>
      <w:lvlJc w:val="left"/>
      <w:pPr>
        <w:ind w:left="5040" w:hanging="360"/>
      </w:pPr>
      <w:rPr>
        <w:rFonts w:ascii="Symbol" w:hAnsi="Symbol" w:hint="default"/>
      </w:rPr>
    </w:lvl>
    <w:lvl w:ilvl="7" w:tplc="56D0BA62">
      <w:start w:val="1"/>
      <w:numFmt w:val="bullet"/>
      <w:lvlText w:val="o"/>
      <w:lvlJc w:val="left"/>
      <w:pPr>
        <w:ind w:left="5760" w:hanging="360"/>
      </w:pPr>
      <w:rPr>
        <w:rFonts w:ascii="Courier New" w:hAnsi="Courier New" w:cs="Courier New" w:hint="default"/>
      </w:rPr>
    </w:lvl>
    <w:lvl w:ilvl="8" w:tplc="CC7434EA">
      <w:start w:val="1"/>
      <w:numFmt w:val="bullet"/>
      <w:lvlText w:val=""/>
      <w:lvlJc w:val="left"/>
      <w:pPr>
        <w:ind w:left="6480" w:hanging="360"/>
      </w:pPr>
      <w:rPr>
        <w:rFonts w:ascii="Wingdings" w:hAnsi="Wingdings" w:hint="default"/>
      </w:rPr>
    </w:lvl>
  </w:abstractNum>
  <w:abstractNum w:abstractNumId="35">
    <w:nsid w:val="66B456FB"/>
    <w:multiLevelType w:val="hybridMultilevel"/>
    <w:tmpl w:val="4398A240"/>
    <w:lvl w:ilvl="0" w:tplc="0242FB8C">
      <w:start w:val="5"/>
      <w:numFmt w:val="decimal"/>
      <w:lvlText w:val="%1)"/>
      <w:lvlJc w:val="left"/>
      <w:pPr>
        <w:ind w:left="1069" w:hanging="360"/>
      </w:pPr>
      <w:rPr>
        <w:rFonts w:hint="default"/>
      </w:rPr>
    </w:lvl>
    <w:lvl w:ilvl="1" w:tplc="CCC645E4">
      <w:start w:val="1"/>
      <w:numFmt w:val="lowerLetter"/>
      <w:lvlText w:val="%2."/>
      <w:lvlJc w:val="left"/>
      <w:pPr>
        <w:ind w:left="1789" w:hanging="360"/>
      </w:pPr>
    </w:lvl>
    <w:lvl w:ilvl="2" w:tplc="9890521C">
      <w:start w:val="1"/>
      <w:numFmt w:val="lowerRoman"/>
      <w:lvlText w:val="%3."/>
      <w:lvlJc w:val="right"/>
      <w:pPr>
        <w:ind w:left="2509" w:hanging="180"/>
      </w:pPr>
    </w:lvl>
    <w:lvl w:ilvl="3" w:tplc="50D2FB8E">
      <w:start w:val="1"/>
      <w:numFmt w:val="decimal"/>
      <w:lvlText w:val="%4."/>
      <w:lvlJc w:val="left"/>
      <w:pPr>
        <w:ind w:left="3229" w:hanging="360"/>
      </w:pPr>
    </w:lvl>
    <w:lvl w:ilvl="4" w:tplc="43D496D0">
      <w:start w:val="1"/>
      <w:numFmt w:val="lowerLetter"/>
      <w:lvlText w:val="%5."/>
      <w:lvlJc w:val="left"/>
      <w:pPr>
        <w:ind w:left="3949" w:hanging="360"/>
      </w:pPr>
    </w:lvl>
    <w:lvl w:ilvl="5" w:tplc="331AF3C8">
      <w:start w:val="1"/>
      <w:numFmt w:val="lowerRoman"/>
      <w:lvlText w:val="%6."/>
      <w:lvlJc w:val="right"/>
      <w:pPr>
        <w:ind w:left="4669" w:hanging="180"/>
      </w:pPr>
    </w:lvl>
    <w:lvl w:ilvl="6" w:tplc="FE56CA0E">
      <w:start w:val="1"/>
      <w:numFmt w:val="decimal"/>
      <w:lvlText w:val="%7."/>
      <w:lvlJc w:val="left"/>
      <w:pPr>
        <w:ind w:left="5389" w:hanging="360"/>
      </w:pPr>
    </w:lvl>
    <w:lvl w:ilvl="7" w:tplc="36746F68">
      <w:start w:val="1"/>
      <w:numFmt w:val="lowerLetter"/>
      <w:lvlText w:val="%8."/>
      <w:lvlJc w:val="left"/>
      <w:pPr>
        <w:ind w:left="6109" w:hanging="360"/>
      </w:pPr>
    </w:lvl>
    <w:lvl w:ilvl="8" w:tplc="82847C3C">
      <w:start w:val="1"/>
      <w:numFmt w:val="lowerRoman"/>
      <w:lvlText w:val="%9."/>
      <w:lvlJc w:val="right"/>
      <w:pPr>
        <w:ind w:left="6829" w:hanging="180"/>
      </w:pPr>
    </w:lvl>
  </w:abstractNum>
  <w:abstractNum w:abstractNumId="36">
    <w:nsid w:val="6DC333FA"/>
    <w:multiLevelType w:val="hybridMultilevel"/>
    <w:tmpl w:val="8AE05858"/>
    <w:lvl w:ilvl="0" w:tplc="BD0E6B60">
      <w:start w:val="3"/>
      <w:numFmt w:val="bullet"/>
      <w:lvlText w:val="-"/>
      <w:lvlJc w:val="left"/>
      <w:pPr>
        <w:ind w:left="1429" w:hanging="360"/>
      </w:pPr>
      <w:rPr>
        <w:rFonts w:ascii="Times New Roman" w:eastAsiaTheme="minorHAnsi" w:hAnsi="Times New Roman" w:cs="Times New Roman" w:hint="default"/>
      </w:rPr>
    </w:lvl>
    <w:lvl w:ilvl="1" w:tplc="CDF0F166">
      <w:start w:val="1"/>
      <w:numFmt w:val="bullet"/>
      <w:lvlText w:val="o"/>
      <w:lvlJc w:val="left"/>
      <w:pPr>
        <w:ind w:left="2149" w:hanging="360"/>
      </w:pPr>
      <w:rPr>
        <w:rFonts w:ascii="Courier New" w:hAnsi="Courier New" w:cs="Courier New" w:hint="default"/>
      </w:rPr>
    </w:lvl>
    <w:lvl w:ilvl="2" w:tplc="6FA20BE0">
      <w:start w:val="1"/>
      <w:numFmt w:val="bullet"/>
      <w:lvlText w:val=""/>
      <w:lvlJc w:val="left"/>
      <w:pPr>
        <w:ind w:left="2869" w:hanging="360"/>
      </w:pPr>
      <w:rPr>
        <w:rFonts w:ascii="Wingdings" w:hAnsi="Wingdings" w:hint="default"/>
      </w:rPr>
    </w:lvl>
    <w:lvl w:ilvl="3" w:tplc="E6723A24">
      <w:start w:val="1"/>
      <w:numFmt w:val="bullet"/>
      <w:lvlText w:val=""/>
      <w:lvlJc w:val="left"/>
      <w:pPr>
        <w:ind w:left="3589" w:hanging="360"/>
      </w:pPr>
      <w:rPr>
        <w:rFonts w:ascii="Symbol" w:hAnsi="Symbol" w:hint="default"/>
      </w:rPr>
    </w:lvl>
    <w:lvl w:ilvl="4" w:tplc="FD10E16E">
      <w:start w:val="1"/>
      <w:numFmt w:val="bullet"/>
      <w:lvlText w:val="o"/>
      <w:lvlJc w:val="left"/>
      <w:pPr>
        <w:ind w:left="4309" w:hanging="360"/>
      </w:pPr>
      <w:rPr>
        <w:rFonts w:ascii="Courier New" w:hAnsi="Courier New" w:cs="Courier New" w:hint="default"/>
      </w:rPr>
    </w:lvl>
    <w:lvl w:ilvl="5" w:tplc="CD62A238">
      <w:start w:val="1"/>
      <w:numFmt w:val="bullet"/>
      <w:lvlText w:val=""/>
      <w:lvlJc w:val="left"/>
      <w:pPr>
        <w:ind w:left="5029" w:hanging="360"/>
      </w:pPr>
      <w:rPr>
        <w:rFonts w:ascii="Wingdings" w:hAnsi="Wingdings" w:hint="default"/>
      </w:rPr>
    </w:lvl>
    <w:lvl w:ilvl="6" w:tplc="A68606DA">
      <w:start w:val="1"/>
      <w:numFmt w:val="bullet"/>
      <w:lvlText w:val=""/>
      <w:lvlJc w:val="left"/>
      <w:pPr>
        <w:ind w:left="5749" w:hanging="360"/>
      </w:pPr>
      <w:rPr>
        <w:rFonts w:ascii="Symbol" w:hAnsi="Symbol" w:hint="default"/>
      </w:rPr>
    </w:lvl>
    <w:lvl w:ilvl="7" w:tplc="19680DF2">
      <w:start w:val="1"/>
      <w:numFmt w:val="bullet"/>
      <w:lvlText w:val="o"/>
      <w:lvlJc w:val="left"/>
      <w:pPr>
        <w:ind w:left="6469" w:hanging="360"/>
      </w:pPr>
      <w:rPr>
        <w:rFonts w:ascii="Courier New" w:hAnsi="Courier New" w:cs="Courier New" w:hint="default"/>
      </w:rPr>
    </w:lvl>
    <w:lvl w:ilvl="8" w:tplc="5C268580">
      <w:start w:val="1"/>
      <w:numFmt w:val="bullet"/>
      <w:lvlText w:val=""/>
      <w:lvlJc w:val="left"/>
      <w:pPr>
        <w:ind w:left="7189" w:hanging="360"/>
      </w:pPr>
      <w:rPr>
        <w:rFonts w:ascii="Wingdings" w:hAnsi="Wingdings" w:hint="default"/>
      </w:rPr>
    </w:lvl>
  </w:abstractNum>
  <w:abstractNum w:abstractNumId="37">
    <w:nsid w:val="6DE06AB4"/>
    <w:multiLevelType w:val="hybridMultilevel"/>
    <w:tmpl w:val="806E66AA"/>
    <w:lvl w:ilvl="0" w:tplc="EE9EA754">
      <w:start w:val="1"/>
      <w:numFmt w:val="bullet"/>
      <w:lvlText w:val=""/>
      <w:lvlJc w:val="left"/>
      <w:pPr>
        <w:ind w:left="720" w:hanging="360"/>
      </w:pPr>
      <w:rPr>
        <w:rFonts w:ascii="Symbol" w:hAnsi="Symbol" w:hint="default"/>
      </w:rPr>
    </w:lvl>
    <w:lvl w:ilvl="1" w:tplc="AB6AA766">
      <w:start w:val="1"/>
      <w:numFmt w:val="bullet"/>
      <w:lvlText w:val="o"/>
      <w:lvlJc w:val="left"/>
      <w:pPr>
        <w:ind w:left="1440" w:hanging="360"/>
      </w:pPr>
      <w:rPr>
        <w:rFonts w:ascii="Courier New" w:hAnsi="Courier New" w:cs="Courier New" w:hint="default"/>
      </w:rPr>
    </w:lvl>
    <w:lvl w:ilvl="2" w:tplc="89FAD6D2">
      <w:start w:val="1"/>
      <w:numFmt w:val="bullet"/>
      <w:lvlText w:val=""/>
      <w:lvlJc w:val="left"/>
      <w:pPr>
        <w:ind w:left="2160" w:hanging="360"/>
      </w:pPr>
      <w:rPr>
        <w:rFonts w:ascii="Wingdings" w:hAnsi="Wingdings" w:hint="default"/>
      </w:rPr>
    </w:lvl>
    <w:lvl w:ilvl="3" w:tplc="CD164E2E">
      <w:start w:val="1"/>
      <w:numFmt w:val="bullet"/>
      <w:lvlText w:val=""/>
      <w:lvlJc w:val="left"/>
      <w:pPr>
        <w:ind w:left="2880" w:hanging="360"/>
      </w:pPr>
      <w:rPr>
        <w:rFonts w:ascii="Symbol" w:hAnsi="Symbol" w:hint="default"/>
      </w:rPr>
    </w:lvl>
    <w:lvl w:ilvl="4" w:tplc="C532A57E">
      <w:start w:val="1"/>
      <w:numFmt w:val="bullet"/>
      <w:lvlText w:val="o"/>
      <w:lvlJc w:val="left"/>
      <w:pPr>
        <w:ind w:left="3600" w:hanging="360"/>
      </w:pPr>
      <w:rPr>
        <w:rFonts w:ascii="Courier New" w:hAnsi="Courier New" w:cs="Courier New" w:hint="default"/>
      </w:rPr>
    </w:lvl>
    <w:lvl w:ilvl="5" w:tplc="5D168EEA">
      <w:start w:val="1"/>
      <w:numFmt w:val="bullet"/>
      <w:lvlText w:val=""/>
      <w:lvlJc w:val="left"/>
      <w:pPr>
        <w:ind w:left="4320" w:hanging="360"/>
      </w:pPr>
      <w:rPr>
        <w:rFonts w:ascii="Wingdings" w:hAnsi="Wingdings" w:hint="default"/>
      </w:rPr>
    </w:lvl>
    <w:lvl w:ilvl="6" w:tplc="4D02B3D8">
      <w:start w:val="1"/>
      <w:numFmt w:val="bullet"/>
      <w:lvlText w:val=""/>
      <w:lvlJc w:val="left"/>
      <w:pPr>
        <w:ind w:left="5040" w:hanging="360"/>
      </w:pPr>
      <w:rPr>
        <w:rFonts w:ascii="Symbol" w:hAnsi="Symbol" w:hint="default"/>
      </w:rPr>
    </w:lvl>
    <w:lvl w:ilvl="7" w:tplc="123CD572">
      <w:start w:val="1"/>
      <w:numFmt w:val="bullet"/>
      <w:lvlText w:val="o"/>
      <w:lvlJc w:val="left"/>
      <w:pPr>
        <w:ind w:left="5760" w:hanging="360"/>
      </w:pPr>
      <w:rPr>
        <w:rFonts w:ascii="Courier New" w:hAnsi="Courier New" w:cs="Courier New" w:hint="default"/>
      </w:rPr>
    </w:lvl>
    <w:lvl w:ilvl="8" w:tplc="116A7AC8">
      <w:start w:val="1"/>
      <w:numFmt w:val="bullet"/>
      <w:lvlText w:val=""/>
      <w:lvlJc w:val="left"/>
      <w:pPr>
        <w:ind w:left="6480" w:hanging="360"/>
      </w:pPr>
      <w:rPr>
        <w:rFonts w:ascii="Wingdings" w:hAnsi="Wingdings" w:hint="default"/>
      </w:rPr>
    </w:lvl>
  </w:abstractNum>
  <w:abstractNum w:abstractNumId="38">
    <w:nsid w:val="72B55D5B"/>
    <w:multiLevelType w:val="hybridMultilevel"/>
    <w:tmpl w:val="6BCC08EE"/>
    <w:lvl w:ilvl="0" w:tplc="10E2FFEE">
      <w:start w:val="3"/>
      <w:numFmt w:val="bullet"/>
      <w:lvlText w:val="-"/>
      <w:lvlJc w:val="left"/>
      <w:pPr>
        <w:ind w:left="1429" w:hanging="360"/>
      </w:pPr>
      <w:rPr>
        <w:rFonts w:ascii="Times New Roman" w:eastAsiaTheme="minorHAnsi" w:hAnsi="Times New Roman" w:cs="Times New Roman" w:hint="default"/>
      </w:rPr>
    </w:lvl>
    <w:lvl w:ilvl="1" w:tplc="0602FD3A">
      <w:start w:val="1"/>
      <w:numFmt w:val="bullet"/>
      <w:lvlText w:val="o"/>
      <w:lvlJc w:val="left"/>
      <w:pPr>
        <w:ind w:left="2149" w:hanging="360"/>
      </w:pPr>
      <w:rPr>
        <w:rFonts w:ascii="Courier New" w:hAnsi="Courier New" w:cs="Courier New" w:hint="default"/>
      </w:rPr>
    </w:lvl>
    <w:lvl w:ilvl="2" w:tplc="65D071AA">
      <w:start w:val="1"/>
      <w:numFmt w:val="bullet"/>
      <w:lvlText w:val=""/>
      <w:lvlJc w:val="left"/>
      <w:pPr>
        <w:ind w:left="2869" w:hanging="360"/>
      </w:pPr>
      <w:rPr>
        <w:rFonts w:ascii="Wingdings" w:hAnsi="Wingdings" w:hint="default"/>
      </w:rPr>
    </w:lvl>
    <w:lvl w:ilvl="3" w:tplc="07C8E5D0">
      <w:start w:val="1"/>
      <w:numFmt w:val="bullet"/>
      <w:lvlText w:val=""/>
      <w:lvlJc w:val="left"/>
      <w:pPr>
        <w:ind w:left="3589" w:hanging="360"/>
      </w:pPr>
      <w:rPr>
        <w:rFonts w:ascii="Symbol" w:hAnsi="Symbol" w:hint="default"/>
      </w:rPr>
    </w:lvl>
    <w:lvl w:ilvl="4" w:tplc="153604DA">
      <w:start w:val="1"/>
      <w:numFmt w:val="bullet"/>
      <w:lvlText w:val="o"/>
      <w:lvlJc w:val="left"/>
      <w:pPr>
        <w:ind w:left="4309" w:hanging="360"/>
      </w:pPr>
      <w:rPr>
        <w:rFonts w:ascii="Courier New" w:hAnsi="Courier New" w:cs="Courier New" w:hint="default"/>
      </w:rPr>
    </w:lvl>
    <w:lvl w:ilvl="5" w:tplc="972C136E">
      <w:start w:val="1"/>
      <w:numFmt w:val="bullet"/>
      <w:lvlText w:val=""/>
      <w:lvlJc w:val="left"/>
      <w:pPr>
        <w:ind w:left="5029" w:hanging="360"/>
      </w:pPr>
      <w:rPr>
        <w:rFonts w:ascii="Wingdings" w:hAnsi="Wingdings" w:hint="default"/>
      </w:rPr>
    </w:lvl>
    <w:lvl w:ilvl="6" w:tplc="AC7A3550">
      <w:start w:val="1"/>
      <w:numFmt w:val="bullet"/>
      <w:lvlText w:val=""/>
      <w:lvlJc w:val="left"/>
      <w:pPr>
        <w:ind w:left="5749" w:hanging="360"/>
      </w:pPr>
      <w:rPr>
        <w:rFonts w:ascii="Symbol" w:hAnsi="Symbol" w:hint="default"/>
      </w:rPr>
    </w:lvl>
    <w:lvl w:ilvl="7" w:tplc="CF6C158E">
      <w:start w:val="1"/>
      <w:numFmt w:val="bullet"/>
      <w:lvlText w:val="o"/>
      <w:lvlJc w:val="left"/>
      <w:pPr>
        <w:ind w:left="6469" w:hanging="360"/>
      </w:pPr>
      <w:rPr>
        <w:rFonts w:ascii="Courier New" w:hAnsi="Courier New" w:cs="Courier New" w:hint="default"/>
      </w:rPr>
    </w:lvl>
    <w:lvl w:ilvl="8" w:tplc="2DA0A7D2">
      <w:start w:val="1"/>
      <w:numFmt w:val="bullet"/>
      <w:lvlText w:val=""/>
      <w:lvlJc w:val="left"/>
      <w:pPr>
        <w:ind w:left="7189" w:hanging="360"/>
      </w:pPr>
      <w:rPr>
        <w:rFonts w:ascii="Wingdings" w:hAnsi="Wingdings" w:hint="default"/>
      </w:rPr>
    </w:lvl>
  </w:abstractNum>
  <w:abstractNum w:abstractNumId="39">
    <w:nsid w:val="73210DD3"/>
    <w:multiLevelType w:val="hybridMultilevel"/>
    <w:tmpl w:val="0B3C6B92"/>
    <w:lvl w:ilvl="0" w:tplc="21C4AFF2">
      <w:start w:val="1"/>
      <w:numFmt w:val="decimal"/>
      <w:lvlText w:val="%1."/>
      <w:lvlJc w:val="left"/>
      <w:pPr>
        <w:ind w:left="1211" w:hanging="360"/>
      </w:pPr>
      <w:rPr>
        <w:rFonts w:hint="default"/>
      </w:rPr>
    </w:lvl>
    <w:lvl w:ilvl="1" w:tplc="6C00B90C">
      <w:start w:val="1"/>
      <w:numFmt w:val="lowerLetter"/>
      <w:lvlText w:val="%2."/>
      <w:lvlJc w:val="left"/>
      <w:pPr>
        <w:ind w:left="1931" w:hanging="360"/>
      </w:pPr>
    </w:lvl>
    <w:lvl w:ilvl="2" w:tplc="A03CA99E">
      <w:start w:val="1"/>
      <w:numFmt w:val="lowerRoman"/>
      <w:lvlText w:val="%3."/>
      <w:lvlJc w:val="right"/>
      <w:pPr>
        <w:ind w:left="2651" w:hanging="180"/>
      </w:pPr>
    </w:lvl>
    <w:lvl w:ilvl="3" w:tplc="9DC0740C">
      <w:start w:val="1"/>
      <w:numFmt w:val="decimal"/>
      <w:lvlText w:val="%4."/>
      <w:lvlJc w:val="left"/>
      <w:pPr>
        <w:ind w:left="3371" w:hanging="360"/>
      </w:pPr>
    </w:lvl>
    <w:lvl w:ilvl="4" w:tplc="50B22830">
      <w:start w:val="1"/>
      <w:numFmt w:val="lowerLetter"/>
      <w:lvlText w:val="%5."/>
      <w:lvlJc w:val="left"/>
      <w:pPr>
        <w:ind w:left="4091" w:hanging="360"/>
      </w:pPr>
    </w:lvl>
    <w:lvl w:ilvl="5" w:tplc="36EA0D7A">
      <w:start w:val="1"/>
      <w:numFmt w:val="lowerRoman"/>
      <w:lvlText w:val="%6."/>
      <w:lvlJc w:val="right"/>
      <w:pPr>
        <w:ind w:left="4811" w:hanging="180"/>
      </w:pPr>
    </w:lvl>
    <w:lvl w:ilvl="6" w:tplc="85048254">
      <w:start w:val="1"/>
      <w:numFmt w:val="decimal"/>
      <w:lvlText w:val="%7."/>
      <w:lvlJc w:val="left"/>
      <w:pPr>
        <w:ind w:left="5531" w:hanging="360"/>
      </w:pPr>
    </w:lvl>
    <w:lvl w:ilvl="7" w:tplc="32F2FCF0">
      <w:start w:val="1"/>
      <w:numFmt w:val="lowerLetter"/>
      <w:lvlText w:val="%8."/>
      <w:lvlJc w:val="left"/>
      <w:pPr>
        <w:ind w:left="6251" w:hanging="360"/>
      </w:pPr>
    </w:lvl>
    <w:lvl w:ilvl="8" w:tplc="44886494">
      <w:start w:val="1"/>
      <w:numFmt w:val="lowerRoman"/>
      <w:lvlText w:val="%9."/>
      <w:lvlJc w:val="right"/>
      <w:pPr>
        <w:ind w:left="6971" w:hanging="180"/>
      </w:pPr>
    </w:lvl>
  </w:abstractNum>
  <w:abstractNum w:abstractNumId="40">
    <w:nsid w:val="735A18A5"/>
    <w:multiLevelType w:val="hybridMultilevel"/>
    <w:tmpl w:val="3A08B984"/>
    <w:lvl w:ilvl="0" w:tplc="B3764504">
      <w:start w:val="1"/>
      <w:numFmt w:val="decimal"/>
      <w:lvlText w:val="%1."/>
      <w:lvlJc w:val="left"/>
      <w:pPr>
        <w:ind w:left="2291" w:hanging="360"/>
      </w:pPr>
    </w:lvl>
    <w:lvl w:ilvl="1" w:tplc="FF48352A">
      <w:start w:val="1"/>
      <w:numFmt w:val="lowerLetter"/>
      <w:lvlText w:val="%2."/>
      <w:lvlJc w:val="left"/>
      <w:pPr>
        <w:ind w:left="3011" w:hanging="360"/>
      </w:pPr>
    </w:lvl>
    <w:lvl w:ilvl="2" w:tplc="0E623C1E">
      <w:start w:val="1"/>
      <w:numFmt w:val="lowerRoman"/>
      <w:lvlText w:val="%3."/>
      <w:lvlJc w:val="right"/>
      <w:pPr>
        <w:ind w:left="3731" w:hanging="180"/>
      </w:pPr>
    </w:lvl>
    <w:lvl w:ilvl="3" w:tplc="CDF83356">
      <w:start w:val="1"/>
      <w:numFmt w:val="decimal"/>
      <w:lvlText w:val="%4."/>
      <w:lvlJc w:val="left"/>
      <w:pPr>
        <w:ind w:left="4451" w:hanging="360"/>
      </w:pPr>
    </w:lvl>
    <w:lvl w:ilvl="4" w:tplc="B9989CA2">
      <w:start w:val="1"/>
      <w:numFmt w:val="lowerLetter"/>
      <w:lvlText w:val="%5."/>
      <w:lvlJc w:val="left"/>
      <w:pPr>
        <w:ind w:left="5171" w:hanging="360"/>
      </w:pPr>
    </w:lvl>
    <w:lvl w:ilvl="5" w:tplc="66AAE49E">
      <w:start w:val="1"/>
      <w:numFmt w:val="lowerRoman"/>
      <w:lvlText w:val="%6."/>
      <w:lvlJc w:val="right"/>
      <w:pPr>
        <w:ind w:left="5891" w:hanging="180"/>
      </w:pPr>
    </w:lvl>
    <w:lvl w:ilvl="6" w:tplc="45B8304E">
      <w:start w:val="1"/>
      <w:numFmt w:val="decimal"/>
      <w:lvlText w:val="%7."/>
      <w:lvlJc w:val="left"/>
      <w:pPr>
        <w:ind w:left="6611" w:hanging="360"/>
      </w:pPr>
    </w:lvl>
    <w:lvl w:ilvl="7" w:tplc="AEC8D5C6">
      <w:start w:val="1"/>
      <w:numFmt w:val="lowerLetter"/>
      <w:lvlText w:val="%8."/>
      <w:lvlJc w:val="left"/>
      <w:pPr>
        <w:ind w:left="7331" w:hanging="360"/>
      </w:pPr>
    </w:lvl>
    <w:lvl w:ilvl="8" w:tplc="9A844804">
      <w:start w:val="1"/>
      <w:numFmt w:val="lowerRoman"/>
      <w:lvlText w:val="%9."/>
      <w:lvlJc w:val="right"/>
      <w:pPr>
        <w:ind w:left="8051" w:hanging="180"/>
      </w:pPr>
    </w:lvl>
  </w:abstractNum>
  <w:abstractNum w:abstractNumId="41">
    <w:nsid w:val="765562BF"/>
    <w:multiLevelType w:val="hybridMultilevel"/>
    <w:tmpl w:val="15444784"/>
    <w:lvl w:ilvl="0" w:tplc="26B0BB78">
      <w:start w:val="1"/>
      <w:numFmt w:val="decimal"/>
      <w:lvlText w:val="%1."/>
      <w:lvlJc w:val="left"/>
      <w:pPr>
        <w:ind w:left="720" w:hanging="360"/>
      </w:pPr>
      <w:rPr>
        <w:rFonts w:hint="default"/>
        <w:b/>
      </w:rPr>
    </w:lvl>
    <w:lvl w:ilvl="1" w:tplc="614E43B8">
      <w:start w:val="1"/>
      <w:numFmt w:val="lowerLetter"/>
      <w:lvlText w:val="%2."/>
      <w:lvlJc w:val="left"/>
      <w:pPr>
        <w:ind w:left="1440" w:hanging="360"/>
      </w:pPr>
    </w:lvl>
    <w:lvl w:ilvl="2" w:tplc="65667258">
      <w:start w:val="1"/>
      <w:numFmt w:val="lowerRoman"/>
      <w:lvlText w:val="%3."/>
      <w:lvlJc w:val="right"/>
      <w:pPr>
        <w:ind w:left="2160" w:hanging="180"/>
      </w:pPr>
    </w:lvl>
    <w:lvl w:ilvl="3" w:tplc="0B901772">
      <w:start w:val="1"/>
      <w:numFmt w:val="decimal"/>
      <w:lvlText w:val="%4."/>
      <w:lvlJc w:val="left"/>
      <w:pPr>
        <w:ind w:left="2880" w:hanging="360"/>
      </w:pPr>
    </w:lvl>
    <w:lvl w:ilvl="4" w:tplc="EBCC6F2C">
      <w:start w:val="1"/>
      <w:numFmt w:val="lowerLetter"/>
      <w:lvlText w:val="%5."/>
      <w:lvlJc w:val="left"/>
      <w:pPr>
        <w:ind w:left="3600" w:hanging="360"/>
      </w:pPr>
    </w:lvl>
    <w:lvl w:ilvl="5" w:tplc="76D0AC54">
      <w:start w:val="1"/>
      <w:numFmt w:val="lowerRoman"/>
      <w:lvlText w:val="%6."/>
      <w:lvlJc w:val="right"/>
      <w:pPr>
        <w:ind w:left="4320" w:hanging="180"/>
      </w:pPr>
    </w:lvl>
    <w:lvl w:ilvl="6" w:tplc="87A8B712">
      <w:start w:val="1"/>
      <w:numFmt w:val="decimal"/>
      <w:lvlText w:val="%7."/>
      <w:lvlJc w:val="left"/>
      <w:pPr>
        <w:ind w:left="5040" w:hanging="360"/>
      </w:pPr>
    </w:lvl>
    <w:lvl w:ilvl="7" w:tplc="E36E86B8">
      <w:start w:val="1"/>
      <w:numFmt w:val="lowerLetter"/>
      <w:lvlText w:val="%8."/>
      <w:lvlJc w:val="left"/>
      <w:pPr>
        <w:ind w:left="5760" w:hanging="360"/>
      </w:pPr>
    </w:lvl>
    <w:lvl w:ilvl="8" w:tplc="BC08FE12">
      <w:start w:val="1"/>
      <w:numFmt w:val="lowerRoman"/>
      <w:lvlText w:val="%9."/>
      <w:lvlJc w:val="right"/>
      <w:pPr>
        <w:ind w:left="6480" w:hanging="180"/>
      </w:pPr>
    </w:lvl>
  </w:abstractNum>
  <w:abstractNum w:abstractNumId="42">
    <w:nsid w:val="7AA7329A"/>
    <w:multiLevelType w:val="hybridMultilevel"/>
    <w:tmpl w:val="0E120F74"/>
    <w:lvl w:ilvl="0" w:tplc="5094A0D4">
      <w:start w:val="1"/>
      <w:numFmt w:val="bullet"/>
      <w:lvlText w:val=""/>
      <w:lvlJc w:val="left"/>
      <w:pPr>
        <w:ind w:left="1440" w:hanging="360"/>
      </w:pPr>
      <w:rPr>
        <w:rFonts w:ascii="Symbol" w:hAnsi="Symbol" w:hint="default"/>
      </w:rPr>
    </w:lvl>
    <w:lvl w:ilvl="1" w:tplc="85FA35FE">
      <w:start w:val="1"/>
      <w:numFmt w:val="bullet"/>
      <w:lvlText w:val="o"/>
      <w:lvlJc w:val="left"/>
      <w:pPr>
        <w:ind w:left="2160" w:hanging="360"/>
      </w:pPr>
      <w:rPr>
        <w:rFonts w:ascii="Courier New" w:hAnsi="Courier New" w:cs="Courier New" w:hint="default"/>
      </w:rPr>
    </w:lvl>
    <w:lvl w:ilvl="2" w:tplc="CF4C11DE">
      <w:start w:val="1"/>
      <w:numFmt w:val="bullet"/>
      <w:lvlText w:val=""/>
      <w:lvlJc w:val="left"/>
      <w:pPr>
        <w:ind w:left="2880" w:hanging="360"/>
      </w:pPr>
      <w:rPr>
        <w:rFonts w:ascii="Wingdings" w:hAnsi="Wingdings" w:hint="default"/>
      </w:rPr>
    </w:lvl>
    <w:lvl w:ilvl="3" w:tplc="F7DA09A4">
      <w:start w:val="1"/>
      <w:numFmt w:val="bullet"/>
      <w:lvlText w:val=""/>
      <w:lvlJc w:val="left"/>
      <w:pPr>
        <w:ind w:left="3600" w:hanging="360"/>
      </w:pPr>
      <w:rPr>
        <w:rFonts w:ascii="Symbol" w:hAnsi="Symbol" w:hint="default"/>
      </w:rPr>
    </w:lvl>
    <w:lvl w:ilvl="4" w:tplc="49FCD4D0">
      <w:start w:val="1"/>
      <w:numFmt w:val="bullet"/>
      <w:lvlText w:val="o"/>
      <w:lvlJc w:val="left"/>
      <w:pPr>
        <w:ind w:left="4320" w:hanging="360"/>
      </w:pPr>
      <w:rPr>
        <w:rFonts w:ascii="Courier New" w:hAnsi="Courier New" w:cs="Courier New" w:hint="default"/>
      </w:rPr>
    </w:lvl>
    <w:lvl w:ilvl="5" w:tplc="E3C8110A">
      <w:start w:val="1"/>
      <w:numFmt w:val="bullet"/>
      <w:lvlText w:val=""/>
      <w:lvlJc w:val="left"/>
      <w:pPr>
        <w:ind w:left="5040" w:hanging="360"/>
      </w:pPr>
      <w:rPr>
        <w:rFonts w:ascii="Wingdings" w:hAnsi="Wingdings" w:hint="default"/>
      </w:rPr>
    </w:lvl>
    <w:lvl w:ilvl="6" w:tplc="F29E2E60">
      <w:start w:val="1"/>
      <w:numFmt w:val="bullet"/>
      <w:lvlText w:val=""/>
      <w:lvlJc w:val="left"/>
      <w:pPr>
        <w:ind w:left="5760" w:hanging="360"/>
      </w:pPr>
      <w:rPr>
        <w:rFonts w:ascii="Symbol" w:hAnsi="Symbol" w:hint="default"/>
      </w:rPr>
    </w:lvl>
    <w:lvl w:ilvl="7" w:tplc="9A8C5864">
      <w:start w:val="1"/>
      <w:numFmt w:val="bullet"/>
      <w:lvlText w:val="o"/>
      <w:lvlJc w:val="left"/>
      <w:pPr>
        <w:ind w:left="6480" w:hanging="360"/>
      </w:pPr>
      <w:rPr>
        <w:rFonts w:ascii="Courier New" w:hAnsi="Courier New" w:cs="Courier New" w:hint="default"/>
      </w:rPr>
    </w:lvl>
    <w:lvl w:ilvl="8" w:tplc="6C44D692">
      <w:start w:val="1"/>
      <w:numFmt w:val="bullet"/>
      <w:lvlText w:val=""/>
      <w:lvlJc w:val="left"/>
      <w:pPr>
        <w:ind w:left="7200" w:hanging="360"/>
      </w:pPr>
      <w:rPr>
        <w:rFonts w:ascii="Wingdings" w:hAnsi="Wingdings" w:hint="default"/>
      </w:rPr>
    </w:lvl>
  </w:abstractNum>
  <w:abstractNum w:abstractNumId="43">
    <w:nsid w:val="7DDD4D31"/>
    <w:multiLevelType w:val="hybridMultilevel"/>
    <w:tmpl w:val="295C01CC"/>
    <w:lvl w:ilvl="0" w:tplc="66842FAC">
      <w:start w:val="1"/>
      <w:numFmt w:val="decimal"/>
      <w:lvlText w:val="%1."/>
      <w:lvlJc w:val="left"/>
      <w:pPr>
        <w:ind w:left="720" w:hanging="360"/>
      </w:pPr>
    </w:lvl>
    <w:lvl w:ilvl="1" w:tplc="59C07B2E">
      <w:start w:val="1"/>
      <w:numFmt w:val="lowerLetter"/>
      <w:lvlText w:val="%2."/>
      <w:lvlJc w:val="left"/>
      <w:pPr>
        <w:ind w:left="1440" w:hanging="360"/>
      </w:pPr>
    </w:lvl>
    <w:lvl w:ilvl="2" w:tplc="F7CE3570">
      <w:start w:val="1"/>
      <w:numFmt w:val="lowerRoman"/>
      <w:lvlText w:val="%3."/>
      <w:lvlJc w:val="right"/>
      <w:pPr>
        <w:ind w:left="2160" w:hanging="180"/>
      </w:pPr>
    </w:lvl>
    <w:lvl w:ilvl="3" w:tplc="62E8BFDA">
      <w:start w:val="1"/>
      <w:numFmt w:val="decimal"/>
      <w:lvlText w:val="%4."/>
      <w:lvlJc w:val="left"/>
      <w:pPr>
        <w:ind w:left="2880" w:hanging="360"/>
      </w:pPr>
    </w:lvl>
    <w:lvl w:ilvl="4" w:tplc="A6F24148">
      <w:start w:val="1"/>
      <w:numFmt w:val="lowerLetter"/>
      <w:lvlText w:val="%5."/>
      <w:lvlJc w:val="left"/>
      <w:pPr>
        <w:ind w:left="3600" w:hanging="360"/>
      </w:pPr>
    </w:lvl>
    <w:lvl w:ilvl="5" w:tplc="C3006C30">
      <w:start w:val="1"/>
      <w:numFmt w:val="lowerRoman"/>
      <w:lvlText w:val="%6."/>
      <w:lvlJc w:val="right"/>
      <w:pPr>
        <w:ind w:left="4320" w:hanging="180"/>
      </w:pPr>
    </w:lvl>
    <w:lvl w:ilvl="6" w:tplc="D8804C68">
      <w:start w:val="1"/>
      <w:numFmt w:val="decimal"/>
      <w:lvlText w:val="%7."/>
      <w:lvlJc w:val="left"/>
      <w:pPr>
        <w:ind w:left="5040" w:hanging="360"/>
      </w:pPr>
    </w:lvl>
    <w:lvl w:ilvl="7" w:tplc="A7341322">
      <w:start w:val="1"/>
      <w:numFmt w:val="lowerLetter"/>
      <w:lvlText w:val="%8."/>
      <w:lvlJc w:val="left"/>
      <w:pPr>
        <w:ind w:left="5760" w:hanging="360"/>
      </w:pPr>
    </w:lvl>
    <w:lvl w:ilvl="8" w:tplc="3D2C1B74">
      <w:start w:val="1"/>
      <w:numFmt w:val="lowerRoman"/>
      <w:lvlText w:val="%9."/>
      <w:lvlJc w:val="right"/>
      <w:pPr>
        <w:ind w:left="6480" w:hanging="180"/>
      </w:pPr>
    </w:lvl>
  </w:abstractNum>
  <w:abstractNum w:abstractNumId="44">
    <w:nsid w:val="7EEF626C"/>
    <w:multiLevelType w:val="hybridMultilevel"/>
    <w:tmpl w:val="0B029AA4"/>
    <w:lvl w:ilvl="0" w:tplc="1702FE36">
      <w:start w:val="1"/>
      <w:numFmt w:val="decimal"/>
      <w:lvlText w:val="%1."/>
      <w:lvlJc w:val="left"/>
      <w:pPr>
        <w:ind w:left="927" w:hanging="360"/>
      </w:pPr>
      <w:rPr>
        <w:rFonts w:hint="default"/>
      </w:rPr>
    </w:lvl>
    <w:lvl w:ilvl="1" w:tplc="19E6F9CA">
      <w:start w:val="1"/>
      <w:numFmt w:val="lowerLetter"/>
      <w:lvlText w:val="%2."/>
      <w:lvlJc w:val="left"/>
      <w:pPr>
        <w:ind w:left="1647" w:hanging="360"/>
      </w:pPr>
    </w:lvl>
    <w:lvl w:ilvl="2" w:tplc="827E9D00">
      <w:start w:val="1"/>
      <w:numFmt w:val="lowerRoman"/>
      <w:lvlText w:val="%3."/>
      <w:lvlJc w:val="right"/>
      <w:pPr>
        <w:ind w:left="2367" w:hanging="180"/>
      </w:pPr>
    </w:lvl>
    <w:lvl w:ilvl="3" w:tplc="AC2E08F8">
      <w:start w:val="1"/>
      <w:numFmt w:val="decimal"/>
      <w:lvlText w:val="%4."/>
      <w:lvlJc w:val="left"/>
      <w:pPr>
        <w:ind w:left="3087" w:hanging="360"/>
      </w:pPr>
    </w:lvl>
    <w:lvl w:ilvl="4" w:tplc="8758CD06">
      <w:start w:val="1"/>
      <w:numFmt w:val="lowerLetter"/>
      <w:lvlText w:val="%5."/>
      <w:lvlJc w:val="left"/>
      <w:pPr>
        <w:ind w:left="3807" w:hanging="360"/>
      </w:pPr>
    </w:lvl>
    <w:lvl w:ilvl="5" w:tplc="F1446CEA">
      <w:start w:val="1"/>
      <w:numFmt w:val="lowerRoman"/>
      <w:lvlText w:val="%6."/>
      <w:lvlJc w:val="right"/>
      <w:pPr>
        <w:ind w:left="4527" w:hanging="180"/>
      </w:pPr>
    </w:lvl>
    <w:lvl w:ilvl="6" w:tplc="B48E248A">
      <w:start w:val="1"/>
      <w:numFmt w:val="decimal"/>
      <w:lvlText w:val="%7."/>
      <w:lvlJc w:val="left"/>
      <w:pPr>
        <w:ind w:left="5247" w:hanging="360"/>
      </w:pPr>
    </w:lvl>
    <w:lvl w:ilvl="7" w:tplc="2140DB78">
      <w:start w:val="1"/>
      <w:numFmt w:val="lowerLetter"/>
      <w:lvlText w:val="%8."/>
      <w:lvlJc w:val="left"/>
      <w:pPr>
        <w:ind w:left="5967" w:hanging="360"/>
      </w:pPr>
    </w:lvl>
    <w:lvl w:ilvl="8" w:tplc="4720F788">
      <w:start w:val="1"/>
      <w:numFmt w:val="lowerRoman"/>
      <w:lvlText w:val="%9."/>
      <w:lvlJc w:val="right"/>
      <w:pPr>
        <w:ind w:left="6687" w:hanging="180"/>
      </w:pPr>
    </w:lvl>
  </w:abstractNum>
  <w:num w:numId="1">
    <w:abstractNumId w:val="32"/>
  </w:num>
  <w:num w:numId="2">
    <w:abstractNumId w:val="15"/>
  </w:num>
  <w:num w:numId="3">
    <w:abstractNumId w:val="25"/>
  </w:num>
  <w:num w:numId="4">
    <w:abstractNumId w:val="6"/>
  </w:num>
  <w:num w:numId="5">
    <w:abstractNumId w:val="8"/>
  </w:num>
  <w:num w:numId="6">
    <w:abstractNumId w:val="20"/>
  </w:num>
  <w:num w:numId="7">
    <w:abstractNumId w:val="2"/>
  </w:num>
  <w:num w:numId="8">
    <w:abstractNumId w:val="29"/>
  </w:num>
  <w:num w:numId="9">
    <w:abstractNumId w:val="5"/>
  </w:num>
  <w:num w:numId="10">
    <w:abstractNumId w:val="23"/>
  </w:num>
  <w:num w:numId="11">
    <w:abstractNumId w:val="3"/>
  </w:num>
  <w:num w:numId="12">
    <w:abstractNumId w:val="41"/>
  </w:num>
  <w:num w:numId="13">
    <w:abstractNumId w:val="27"/>
  </w:num>
  <w:num w:numId="14">
    <w:abstractNumId w:val="0"/>
  </w:num>
  <w:num w:numId="15">
    <w:abstractNumId w:val="44"/>
  </w:num>
  <w:num w:numId="16">
    <w:abstractNumId w:val="19"/>
  </w:num>
  <w:num w:numId="17">
    <w:abstractNumId w:val="16"/>
  </w:num>
  <w:num w:numId="18">
    <w:abstractNumId w:val="39"/>
  </w:num>
  <w:num w:numId="19">
    <w:abstractNumId w:val="31"/>
  </w:num>
  <w:num w:numId="20">
    <w:abstractNumId w:val="21"/>
  </w:num>
  <w:num w:numId="21">
    <w:abstractNumId w:val="28"/>
  </w:num>
  <w:num w:numId="22">
    <w:abstractNumId w:val="37"/>
  </w:num>
  <w:num w:numId="23">
    <w:abstractNumId w:val="17"/>
  </w:num>
  <w:num w:numId="24">
    <w:abstractNumId w:val="4"/>
  </w:num>
  <w:num w:numId="25">
    <w:abstractNumId w:val="30"/>
  </w:num>
  <w:num w:numId="26">
    <w:abstractNumId w:val="10"/>
  </w:num>
  <w:num w:numId="27">
    <w:abstractNumId w:val="40"/>
  </w:num>
  <w:num w:numId="28">
    <w:abstractNumId w:val="26"/>
  </w:num>
  <w:num w:numId="29">
    <w:abstractNumId w:val="14"/>
  </w:num>
  <w:num w:numId="30">
    <w:abstractNumId w:val="11"/>
  </w:num>
  <w:num w:numId="31">
    <w:abstractNumId w:val="38"/>
  </w:num>
  <w:num w:numId="32">
    <w:abstractNumId w:val="36"/>
  </w:num>
  <w:num w:numId="33">
    <w:abstractNumId w:val="13"/>
  </w:num>
  <w:num w:numId="34">
    <w:abstractNumId w:val="12"/>
  </w:num>
  <w:num w:numId="35">
    <w:abstractNumId w:val="18"/>
  </w:num>
  <w:num w:numId="36">
    <w:abstractNumId w:val="22"/>
  </w:num>
  <w:num w:numId="37">
    <w:abstractNumId w:val="42"/>
  </w:num>
  <w:num w:numId="38">
    <w:abstractNumId w:val="43"/>
  </w:num>
  <w:num w:numId="39">
    <w:abstractNumId w:val="7"/>
  </w:num>
  <w:num w:numId="40">
    <w:abstractNumId w:val="24"/>
  </w:num>
  <w:num w:numId="41">
    <w:abstractNumId w:val="35"/>
  </w:num>
  <w:num w:numId="42">
    <w:abstractNumId w:val="9"/>
  </w:num>
  <w:num w:numId="43">
    <w:abstractNumId w:val="34"/>
  </w:num>
  <w:num w:numId="44">
    <w:abstractNumId w:val="1"/>
  </w:num>
  <w:num w:numId="45">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1467"/>
    <w:rsid w:val="003B159F"/>
    <w:rsid w:val="00B70D3E"/>
    <w:rsid w:val="00DC14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88" w:lineRule="auto"/>
      <w:ind w:firstLine="567"/>
      <w:jc w:val="both"/>
    </w:pPr>
    <w:rPr>
      <w:rFonts w:ascii="Times New Roman" w:eastAsia="Times New Roman" w:hAnsi="Times New Roman" w:cs="Times New Roman"/>
      <w:sz w:val="28"/>
      <w:szCs w:val="28"/>
      <w:lang w:eastAsia="ru-RU"/>
    </w:rPr>
  </w:style>
  <w:style w:type="paragraph" w:styleId="1">
    <w:name w:val="heading 1"/>
    <w:basedOn w:val="a"/>
    <w:next w:val="a"/>
    <w:link w:val="10"/>
    <w:uiPriority w:val="99"/>
    <w:qFormat/>
    <w:pPr>
      <w:spacing w:before="480" w:line="276" w:lineRule="auto"/>
      <w:ind w:firstLine="0"/>
      <w:contextualSpacing/>
      <w:jc w:val="left"/>
      <w:outlineLvl w:val="0"/>
    </w:pPr>
    <w:rPr>
      <w:rFonts w:ascii="Cambria" w:hAnsi="Cambria"/>
      <w:b/>
      <w:bCs/>
    </w:rPr>
  </w:style>
  <w:style w:type="paragraph" w:styleId="2">
    <w:name w:val="heading 2"/>
    <w:basedOn w:val="a"/>
    <w:next w:val="a"/>
    <w:link w:val="21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semiHidden/>
    <w:unhideWhenUsed/>
    <w:qFormat/>
    <w:pPr>
      <w:keepNext/>
      <w:keepLines/>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ing1Char">
    <w:name w:val="Heading 1 Char"/>
    <w:basedOn w:val="a0"/>
    <w:uiPriority w:val="9"/>
    <w:rPr>
      <w:rFonts w:ascii="Arial" w:eastAsia="Arial" w:hAnsi="Arial" w:cs="Arial"/>
      <w:sz w:val="40"/>
      <w:szCs w:val="40"/>
    </w:rPr>
  </w:style>
  <w:style w:type="character" w:customStyle="1" w:styleId="210">
    <w:name w:val="Заголовок 2 Знак1"/>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Название Знак"/>
    <w:basedOn w:val="a0"/>
    <w:link w:val="a3"/>
    <w:uiPriority w:val="10"/>
    <w:rPr>
      <w:sz w:val="48"/>
      <w:szCs w:val="48"/>
    </w:rPr>
  </w:style>
  <w:style w:type="paragraph" w:styleId="a5">
    <w:name w:val="Subtitle"/>
    <w:basedOn w:val="a"/>
    <w:next w:val="a"/>
    <w:link w:val="a6"/>
    <w:uiPriority w:val="11"/>
    <w:qFormat/>
    <w:pPr>
      <w:spacing w:before="200" w:after="200"/>
    </w:pPr>
    <w:rPr>
      <w:sz w:val="24"/>
      <w:szCs w:val="24"/>
    </w:rPr>
  </w:style>
  <w:style w:type="character" w:customStyle="1" w:styleId="a6">
    <w:name w:val="Подзаголовок Знак"/>
    <w:basedOn w:val="a0"/>
    <w:link w:val="a5"/>
    <w:uiPriority w:val="11"/>
    <w:rPr>
      <w:sz w:val="24"/>
      <w:szCs w:val="24"/>
    </w:rPr>
  </w:style>
  <w:style w:type="paragraph" w:styleId="20">
    <w:name w:val="Quote"/>
    <w:basedOn w:val="a"/>
    <w:next w:val="a"/>
    <w:link w:val="22"/>
    <w:uiPriority w:val="29"/>
    <w:qFormat/>
    <w:pPr>
      <w:ind w:left="720" w:right="720"/>
    </w:pPr>
    <w:rPr>
      <w:i/>
    </w:rPr>
  </w:style>
  <w:style w:type="character" w:customStyle="1" w:styleId="22">
    <w:name w:val="Цитата 2 Знак"/>
    <w:link w:val="20"/>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FooterChar">
    <w:name w:val="Footer Char"/>
    <w:basedOn w:val="a0"/>
    <w:uiPriority w:val="99"/>
  </w:style>
  <w:style w:type="paragraph" w:styleId="a9">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GridTable7Colorful">
    <w:name w:val="Grid Table 7 Colorful"/>
    <w:basedOn w:val="a1"/>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1">
    <w:name w:val="toc 4"/>
    <w:basedOn w:val="a"/>
    <w:next w:val="a"/>
    <w:uiPriority w:val="39"/>
    <w:unhideWhenUsed/>
    <w:pPr>
      <w:spacing w:after="57"/>
      <w:ind w:left="850" w:firstLine="0"/>
    </w:pPr>
  </w:style>
  <w:style w:type="paragraph" w:styleId="51">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a">
    <w:name w:val="TOC Heading"/>
    <w:uiPriority w:val="39"/>
    <w:unhideWhenUsed/>
  </w:style>
  <w:style w:type="paragraph" w:styleId="ab">
    <w:name w:val="table of figures"/>
    <w:basedOn w:val="a"/>
    <w:next w:val="a"/>
    <w:uiPriority w:val="99"/>
    <w:unhideWhenUsed/>
  </w:style>
  <w:style w:type="paragraph" w:customStyle="1" w:styleId="ConsPlusNormal">
    <w:name w:val="ConsPlusNormal"/>
    <w:pPr>
      <w:widowControl w:val="0"/>
      <w:spacing w:after="0" w:line="240" w:lineRule="auto"/>
      <w:ind w:firstLine="720"/>
    </w:pPr>
    <w:rPr>
      <w:rFonts w:ascii="Arial" w:eastAsia="Times New Roman" w:hAnsi="Arial" w:cs="Arial"/>
      <w:sz w:val="20"/>
      <w:szCs w:val="20"/>
      <w:lang w:eastAsia="ru-RU"/>
    </w:rPr>
  </w:style>
  <w:style w:type="character" w:customStyle="1" w:styleId="10">
    <w:name w:val="Заголовок 1 Знак"/>
    <w:basedOn w:val="a0"/>
    <w:link w:val="1"/>
    <w:uiPriority w:val="99"/>
    <w:rPr>
      <w:rFonts w:ascii="Cambria" w:eastAsia="Times New Roman" w:hAnsi="Cambria" w:cs="Times New Roman"/>
      <w:b/>
      <w:bCs/>
      <w:sz w:val="28"/>
      <w:szCs w:val="28"/>
      <w:lang w:eastAsia="ru-RU"/>
    </w:rPr>
  </w:style>
  <w:style w:type="table" w:styleId="ac">
    <w:name w:val="Table Grid"/>
    <w:basedOn w:val="a1"/>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d">
    <w:name w:val="List Paragraph"/>
    <w:basedOn w:val="a"/>
    <w:link w:val="ae"/>
    <w:uiPriority w:val="34"/>
    <w:qFormat/>
    <w:pPr>
      <w:ind w:left="720"/>
      <w:contextualSpacing/>
    </w:pPr>
  </w:style>
  <w:style w:type="paragraph" w:styleId="af">
    <w:name w:val="footnote text"/>
    <w:basedOn w:val="a"/>
    <w:link w:val="af0"/>
    <w:unhideWhenUsed/>
    <w:qFormat/>
    <w:pPr>
      <w:spacing w:line="240" w:lineRule="auto"/>
      <w:ind w:firstLine="0"/>
      <w:jc w:val="left"/>
    </w:pPr>
    <w:rPr>
      <w:rFonts w:ascii="Calibri" w:hAnsi="Calibri"/>
      <w:sz w:val="20"/>
      <w:szCs w:val="20"/>
    </w:rPr>
  </w:style>
  <w:style w:type="character" w:customStyle="1" w:styleId="af0">
    <w:name w:val="Текст сноски Знак"/>
    <w:basedOn w:val="a0"/>
    <w:link w:val="af"/>
    <w:rPr>
      <w:rFonts w:ascii="Calibri" w:eastAsia="Times New Roman" w:hAnsi="Calibri" w:cs="Times New Roman"/>
      <w:sz w:val="20"/>
      <w:szCs w:val="20"/>
      <w:lang w:eastAsia="ru-RU"/>
    </w:rPr>
  </w:style>
  <w:style w:type="character" w:styleId="af1">
    <w:name w:val="footnote reference"/>
    <w:uiPriority w:val="99"/>
    <w:qFormat/>
    <w:rPr>
      <w:vertAlign w:val="superscript"/>
    </w:rPr>
  </w:style>
  <w:style w:type="character" w:styleId="af2">
    <w:name w:val="Emphasis"/>
    <w:uiPriority w:val="20"/>
    <w:qFormat/>
    <w:rPr>
      <w:rFonts w:cs="Times New Roman"/>
      <w:i/>
    </w:rPr>
  </w:style>
  <w:style w:type="character" w:customStyle="1" w:styleId="ae">
    <w:name w:val="Абзац списка Знак"/>
    <w:link w:val="ad"/>
    <w:uiPriority w:val="34"/>
    <w:rPr>
      <w:rFonts w:ascii="Times New Roman" w:eastAsia="Times New Roman" w:hAnsi="Times New Roman" w:cs="Times New Roman"/>
      <w:sz w:val="28"/>
      <w:szCs w:val="28"/>
      <w:lang w:eastAsia="ru-RU"/>
    </w:rPr>
  </w:style>
  <w:style w:type="character" w:styleId="HTML">
    <w:name w:val="HTML Typewriter"/>
    <w:basedOn w:val="a0"/>
    <w:uiPriority w:val="99"/>
    <w:rPr>
      <w:rFonts w:ascii="Courier New" w:hAnsi="Courier New" w:cs="Times New Roman"/>
      <w:sz w:val="20"/>
    </w:rPr>
  </w:style>
  <w:style w:type="paragraph" w:styleId="af3">
    <w:name w:val="Body Text"/>
    <w:basedOn w:val="a"/>
    <w:link w:val="af4"/>
    <w:uiPriority w:val="99"/>
    <w:pPr>
      <w:spacing w:after="120" w:line="240" w:lineRule="auto"/>
      <w:ind w:firstLine="0"/>
      <w:jc w:val="left"/>
    </w:pPr>
    <w:rPr>
      <w:sz w:val="24"/>
      <w:szCs w:val="24"/>
    </w:rPr>
  </w:style>
  <w:style w:type="character" w:customStyle="1" w:styleId="af4">
    <w:name w:val="Основной текст Знак"/>
    <w:basedOn w:val="a0"/>
    <w:link w:val="af3"/>
    <w:uiPriority w:val="99"/>
    <w:rPr>
      <w:rFonts w:ascii="Times New Roman" w:eastAsia="Times New Roman" w:hAnsi="Times New Roman" w:cs="Times New Roman"/>
      <w:sz w:val="24"/>
      <w:szCs w:val="24"/>
      <w:lang w:eastAsia="ru-RU"/>
    </w:rPr>
  </w:style>
  <w:style w:type="paragraph" w:styleId="af5">
    <w:name w:val="Body Text First Indent"/>
    <w:basedOn w:val="af3"/>
    <w:link w:val="af6"/>
    <w:uiPriority w:val="99"/>
    <w:pPr>
      <w:ind w:firstLine="210"/>
    </w:pPr>
  </w:style>
  <w:style w:type="character" w:customStyle="1" w:styleId="af6">
    <w:name w:val="Красная строка Знак"/>
    <w:basedOn w:val="af4"/>
    <w:link w:val="af5"/>
    <w:uiPriority w:val="99"/>
    <w:rPr>
      <w:rFonts w:ascii="Times New Roman" w:eastAsia="Times New Roman" w:hAnsi="Times New Roman" w:cs="Times New Roman"/>
      <w:sz w:val="24"/>
      <w:szCs w:val="24"/>
      <w:lang w:eastAsia="ru-RU"/>
    </w:rPr>
  </w:style>
  <w:style w:type="character" w:customStyle="1" w:styleId="FontStyle13">
    <w:name w:val="Font Style13"/>
    <w:rPr>
      <w:rFonts w:ascii="Times New Roman" w:hAnsi="Times New Roman"/>
      <w:sz w:val="26"/>
    </w:rPr>
  </w:style>
  <w:style w:type="paragraph" w:customStyle="1" w:styleId="24">
    <w:name w:val="Основной текст2"/>
    <w:basedOn w:val="a"/>
    <w:link w:val="af7"/>
    <w:pPr>
      <w:shd w:val="clear" w:color="auto" w:fill="FFFFFF"/>
      <w:spacing w:after="300" w:line="374" w:lineRule="exact"/>
      <w:ind w:firstLine="0"/>
      <w:jc w:val="right"/>
    </w:pPr>
    <w:rPr>
      <w:sz w:val="26"/>
      <w:szCs w:val="26"/>
    </w:rPr>
  </w:style>
  <w:style w:type="paragraph" w:styleId="af8">
    <w:name w:val="Balloon Text"/>
    <w:basedOn w:val="a"/>
    <w:link w:val="af9"/>
    <w:uiPriority w:val="99"/>
    <w:pPr>
      <w:spacing w:line="240" w:lineRule="auto"/>
      <w:ind w:firstLine="0"/>
      <w:jc w:val="left"/>
    </w:pPr>
    <w:rPr>
      <w:rFonts w:ascii="Segoe UI" w:hAnsi="Segoe UI"/>
      <w:sz w:val="18"/>
      <w:szCs w:val="18"/>
    </w:rPr>
  </w:style>
  <w:style w:type="character" w:customStyle="1" w:styleId="af9">
    <w:name w:val="Текст выноски Знак"/>
    <w:basedOn w:val="a0"/>
    <w:link w:val="af8"/>
    <w:uiPriority w:val="99"/>
    <w:rPr>
      <w:rFonts w:ascii="Segoe UI" w:eastAsia="Times New Roman" w:hAnsi="Segoe UI" w:cs="Times New Roman"/>
      <w:sz w:val="18"/>
      <w:szCs w:val="18"/>
    </w:rPr>
  </w:style>
  <w:style w:type="paragraph" w:customStyle="1" w:styleId="afa">
    <w:name w:val="Прижатый влево"/>
    <w:basedOn w:val="a"/>
    <w:next w:val="a"/>
    <w:pPr>
      <w:spacing w:line="240" w:lineRule="auto"/>
      <w:ind w:firstLine="0"/>
      <w:jc w:val="left"/>
    </w:pPr>
    <w:rPr>
      <w:rFonts w:ascii="Arial" w:hAnsi="Arial"/>
      <w:sz w:val="24"/>
      <w:szCs w:val="24"/>
    </w:rPr>
  </w:style>
  <w:style w:type="character" w:customStyle="1" w:styleId="af7">
    <w:name w:val="Основной текст_"/>
    <w:link w:val="24"/>
    <w:rPr>
      <w:rFonts w:ascii="Times New Roman" w:eastAsia="Times New Roman" w:hAnsi="Times New Roman" w:cs="Times New Roman"/>
      <w:sz w:val="26"/>
      <w:szCs w:val="26"/>
      <w:shd w:val="clear" w:color="auto" w:fill="FFFFFF"/>
    </w:rPr>
  </w:style>
  <w:style w:type="character" w:customStyle="1" w:styleId="FontStyle17">
    <w:name w:val="Font Style17"/>
    <w:uiPriority w:val="99"/>
    <w:rPr>
      <w:rFonts w:ascii="Times New Roman" w:hAnsi="Times New Roman" w:cs="Times New Roman"/>
      <w:color w:val="000000"/>
      <w:sz w:val="24"/>
      <w:szCs w:val="24"/>
    </w:rPr>
  </w:style>
  <w:style w:type="paragraph" w:styleId="afb">
    <w:name w:val="endnote text"/>
    <w:basedOn w:val="a"/>
    <w:link w:val="afc"/>
    <w:uiPriority w:val="99"/>
    <w:pPr>
      <w:spacing w:line="240" w:lineRule="auto"/>
      <w:ind w:firstLine="0"/>
      <w:jc w:val="left"/>
    </w:pPr>
    <w:rPr>
      <w:sz w:val="20"/>
      <w:szCs w:val="20"/>
    </w:rPr>
  </w:style>
  <w:style w:type="character" w:customStyle="1" w:styleId="afc">
    <w:name w:val="Текст концевой сноски Знак"/>
    <w:basedOn w:val="a0"/>
    <w:link w:val="afb"/>
    <w:uiPriority w:val="99"/>
    <w:rPr>
      <w:rFonts w:ascii="Times New Roman" w:eastAsia="Times New Roman" w:hAnsi="Times New Roman" w:cs="Times New Roman"/>
      <w:sz w:val="20"/>
      <w:szCs w:val="20"/>
      <w:lang w:eastAsia="ru-RU"/>
    </w:rPr>
  </w:style>
  <w:style w:type="character" w:styleId="afd">
    <w:name w:val="endnote reference"/>
    <w:uiPriority w:val="99"/>
    <w:rPr>
      <w:vertAlign w:val="superscript"/>
    </w:rPr>
  </w:style>
  <w:style w:type="character" w:styleId="afe">
    <w:name w:val="Intense Emphasis"/>
    <w:uiPriority w:val="21"/>
    <w:qFormat/>
    <w:rPr>
      <w:i/>
      <w:iCs/>
      <w:color w:val="5B9BD5"/>
    </w:rPr>
  </w:style>
  <w:style w:type="character" w:customStyle="1" w:styleId="62">
    <w:name w:val="Основной текст (6)_"/>
    <w:link w:val="63"/>
    <w:rPr>
      <w:spacing w:val="-4"/>
      <w:sz w:val="23"/>
      <w:szCs w:val="23"/>
      <w:shd w:val="clear" w:color="auto" w:fill="FFFFFF"/>
    </w:rPr>
  </w:style>
  <w:style w:type="paragraph" w:customStyle="1" w:styleId="63">
    <w:name w:val="Основной текст (6)"/>
    <w:basedOn w:val="a"/>
    <w:link w:val="62"/>
    <w:pPr>
      <w:widowControl w:val="0"/>
      <w:shd w:val="clear" w:color="auto" w:fill="FFFFFF"/>
      <w:spacing w:line="0" w:lineRule="atLeast"/>
      <w:ind w:firstLine="0"/>
      <w:jc w:val="center"/>
    </w:pPr>
    <w:rPr>
      <w:rFonts w:asciiTheme="minorHAnsi" w:eastAsiaTheme="minorHAnsi" w:hAnsiTheme="minorHAnsi" w:cstheme="minorBidi"/>
      <w:spacing w:val="-4"/>
      <w:sz w:val="23"/>
      <w:szCs w:val="23"/>
      <w:lang w:eastAsia="en-US"/>
    </w:rPr>
  </w:style>
  <w:style w:type="paragraph" w:styleId="aff">
    <w:name w:val="header"/>
    <w:basedOn w:val="a"/>
    <w:link w:val="aff0"/>
    <w:unhideWhenUsed/>
    <w:pPr>
      <w:tabs>
        <w:tab w:val="center" w:pos="4677"/>
        <w:tab w:val="right" w:pos="9355"/>
      </w:tabs>
      <w:spacing w:line="240" w:lineRule="auto"/>
    </w:pPr>
  </w:style>
  <w:style w:type="character" w:customStyle="1" w:styleId="aff0">
    <w:name w:val="Верхний колонтитул Знак"/>
    <w:basedOn w:val="a0"/>
    <w:link w:val="aff"/>
    <w:uiPriority w:val="99"/>
    <w:rPr>
      <w:rFonts w:ascii="Times New Roman" w:eastAsia="Times New Roman" w:hAnsi="Times New Roman" w:cs="Times New Roman"/>
      <w:sz w:val="28"/>
      <w:szCs w:val="28"/>
      <w:lang w:eastAsia="ru-RU"/>
    </w:rPr>
  </w:style>
  <w:style w:type="paragraph" w:styleId="aff1">
    <w:name w:val="footer"/>
    <w:basedOn w:val="a"/>
    <w:link w:val="aff2"/>
    <w:uiPriority w:val="99"/>
    <w:unhideWhenUsed/>
    <w:pPr>
      <w:tabs>
        <w:tab w:val="center" w:pos="4677"/>
        <w:tab w:val="right" w:pos="9355"/>
      </w:tabs>
      <w:spacing w:line="240" w:lineRule="auto"/>
    </w:pPr>
  </w:style>
  <w:style w:type="character" w:customStyle="1" w:styleId="aff2">
    <w:name w:val="Нижний колонтитул Знак"/>
    <w:basedOn w:val="a0"/>
    <w:link w:val="aff1"/>
    <w:uiPriority w:val="99"/>
    <w:rPr>
      <w:rFonts w:ascii="Times New Roman" w:eastAsia="Times New Roman" w:hAnsi="Times New Roman" w:cs="Times New Roman"/>
      <w:sz w:val="28"/>
      <w:szCs w:val="28"/>
      <w:lang w:eastAsia="ru-RU"/>
    </w:rPr>
  </w:style>
  <w:style w:type="character" w:customStyle="1" w:styleId="aff3">
    <w:name w:val="Сноска_"/>
    <w:basedOn w:val="a0"/>
    <w:link w:val="aff4"/>
    <w:rPr>
      <w:rFonts w:ascii="Times New Roman" w:eastAsia="Times New Roman" w:hAnsi="Times New Roman"/>
      <w:b/>
      <w:bCs/>
      <w:sz w:val="18"/>
      <w:szCs w:val="18"/>
      <w:shd w:val="clear" w:color="auto" w:fill="FFFFFF"/>
    </w:rPr>
  </w:style>
  <w:style w:type="paragraph" w:customStyle="1" w:styleId="aff4">
    <w:name w:val="Сноска"/>
    <w:basedOn w:val="a"/>
    <w:link w:val="aff3"/>
    <w:pPr>
      <w:widowControl w:val="0"/>
      <w:shd w:val="clear" w:color="auto" w:fill="FFFFFF"/>
      <w:spacing w:line="230" w:lineRule="exact"/>
      <w:ind w:firstLine="0"/>
    </w:pPr>
    <w:rPr>
      <w:rFonts w:cstheme="minorBidi"/>
      <w:b/>
      <w:bCs/>
      <w:sz w:val="18"/>
      <w:szCs w:val="18"/>
      <w:lang w:eastAsia="en-US"/>
    </w:rPr>
  </w:style>
  <w:style w:type="paragraph" w:customStyle="1" w:styleId="Default">
    <w:name w:val="Default"/>
    <w:pPr>
      <w:spacing w:after="0" w:line="240" w:lineRule="auto"/>
    </w:pPr>
    <w:rPr>
      <w:rFonts w:ascii="Times New Roman" w:eastAsia="Times New Roman" w:hAnsi="Times New Roman" w:cs="Times New Roman"/>
      <w:color w:val="000000"/>
      <w:sz w:val="24"/>
      <w:szCs w:val="24"/>
      <w:lang w:eastAsia="ru-RU"/>
    </w:rPr>
  </w:style>
  <w:style w:type="paragraph" w:styleId="aff5">
    <w:name w:val="No Spacing"/>
    <w:link w:val="aff6"/>
    <w:uiPriority w:val="1"/>
    <w:qFormat/>
    <w:pPr>
      <w:spacing w:after="0" w:line="240" w:lineRule="auto"/>
    </w:pPr>
    <w:rPr>
      <w:rFonts w:ascii="Calibri" w:eastAsia="Times New Roman" w:hAnsi="Calibri" w:cs="Calibri"/>
      <w:lang w:eastAsia="ru-RU"/>
    </w:rPr>
  </w:style>
  <w:style w:type="character" w:customStyle="1" w:styleId="FontStyle16">
    <w:name w:val="Font Style16"/>
    <w:uiPriority w:val="99"/>
    <w:rPr>
      <w:rFonts w:ascii="Times New Roman" w:hAnsi="Times New Roman" w:cs="Times New Roman"/>
      <w:sz w:val="26"/>
      <w:szCs w:val="26"/>
    </w:rPr>
  </w:style>
  <w:style w:type="paragraph" w:customStyle="1" w:styleId="ConsPlusTitle">
    <w:name w:val="ConsPlusTitle"/>
    <w:uiPriority w:val="99"/>
    <w:qFormat/>
    <w:pPr>
      <w:spacing w:after="0" w:line="240" w:lineRule="auto"/>
    </w:pPr>
    <w:rPr>
      <w:rFonts w:ascii="Times New Roman" w:eastAsia="Times New Roman" w:hAnsi="Times New Roman" w:cs="Times New Roman"/>
      <w:b/>
      <w:bCs/>
      <w:sz w:val="28"/>
      <w:szCs w:val="28"/>
    </w:rPr>
  </w:style>
  <w:style w:type="character" w:customStyle="1" w:styleId="aff6">
    <w:name w:val="Без интервала Знак"/>
    <w:basedOn w:val="a0"/>
    <w:link w:val="aff5"/>
    <w:uiPriority w:val="1"/>
    <w:rPr>
      <w:rFonts w:ascii="Calibri" w:eastAsia="Times New Roman" w:hAnsi="Calibri" w:cs="Calibri"/>
      <w:lang w:eastAsia="ru-RU"/>
    </w:rPr>
  </w:style>
  <w:style w:type="paragraph" w:styleId="aff7">
    <w:name w:val="Normal (Web)"/>
    <w:basedOn w:val="a"/>
    <w:link w:val="aff8"/>
    <w:uiPriority w:val="99"/>
    <w:pPr>
      <w:spacing w:beforeAutospacing="1" w:after="200" w:afterAutospacing="1" w:line="240" w:lineRule="auto"/>
      <w:ind w:firstLine="0"/>
      <w:jc w:val="left"/>
    </w:pPr>
    <w:rPr>
      <w:color w:val="000000"/>
      <w:sz w:val="24"/>
      <w:szCs w:val="20"/>
    </w:rPr>
  </w:style>
  <w:style w:type="character" w:customStyle="1" w:styleId="aff8">
    <w:name w:val="Обычный (веб) Знак"/>
    <w:link w:val="aff7"/>
    <w:uiPriority w:val="99"/>
    <w:rPr>
      <w:rFonts w:ascii="Times New Roman" w:eastAsia="Times New Roman" w:hAnsi="Times New Roman" w:cs="Times New Roman"/>
      <w:color w:val="000000"/>
      <w:sz w:val="24"/>
      <w:szCs w:val="20"/>
      <w:lang w:eastAsia="ru-RU"/>
    </w:rPr>
  </w:style>
  <w:style w:type="character" w:styleId="aff9">
    <w:name w:val="Hyperlink"/>
    <w:uiPriority w:val="99"/>
    <w:rPr>
      <w:rFonts w:cs="Times New Roman"/>
      <w:color w:val="0000FF"/>
      <w:u w:val="single"/>
    </w:rPr>
  </w:style>
  <w:style w:type="numbering" w:customStyle="1" w:styleId="13">
    <w:name w:val="Нет списка1"/>
    <w:next w:val="a2"/>
    <w:uiPriority w:val="99"/>
    <w:semiHidden/>
    <w:unhideWhenUsed/>
  </w:style>
  <w:style w:type="table" w:customStyle="1" w:styleId="14">
    <w:name w:val="Сетка таблицы1"/>
    <w:basedOn w:val="a1"/>
    <w:next w:val="ac"/>
    <w:uiPriority w:val="59"/>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5">
    <w:name w:val="Нет списка2"/>
    <w:next w:val="a2"/>
    <w:uiPriority w:val="99"/>
    <w:semiHidden/>
    <w:unhideWhenUsed/>
  </w:style>
  <w:style w:type="table" w:customStyle="1" w:styleId="26">
    <w:name w:val="Сетка таблицы2"/>
    <w:basedOn w:val="a1"/>
    <w:next w:val="ac"/>
    <w:uiPriority w:val="59"/>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3">
    <w:name w:val="Style3"/>
    <w:basedOn w:val="a"/>
    <w:uiPriority w:val="99"/>
    <w:pPr>
      <w:widowControl w:val="0"/>
      <w:spacing w:line="240" w:lineRule="auto"/>
      <w:ind w:firstLine="0"/>
      <w:jc w:val="left"/>
    </w:pPr>
    <w:rPr>
      <w:sz w:val="24"/>
      <w:szCs w:val="24"/>
    </w:rPr>
  </w:style>
  <w:style w:type="character" w:customStyle="1" w:styleId="27">
    <w:name w:val="Заголовок 2 Знак"/>
    <w:link w:val="21"/>
    <w:uiPriority w:val="9"/>
    <w:qFormat/>
    <w:rPr>
      <w:b/>
      <w:sz w:val="24"/>
    </w:rPr>
  </w:style>
  <w:style w:type="paragraph" w:customStyle="1" w:styleId="11">
    <w:name w:val="Заголовок 11"/>
    <w:basedOn w:val="a"/>
    <w:next w:val="a"/>
    <w:uiPriority w:val="99"/>
    <w:qFormat/>
    <w:pPr>
      <w:keepNext/>
      <w:numPr>
        <w:numId w:val="16"/>
      </w:numPr>
      <w:spacing w:line="240" w:lineRule="auto"/>
      <w:jc w:val="left"/>
      <w:outlineLvl w:val="0"/>
    </w:pPr>
    <w:rPr>
      <w:b/>
      <w:color w:val="000000"/>
      <w:sz w:val="24"/>
      <w:szCs w:val="20"/>
    </w:rPr>
  </w:style>
  <w:style w:type="paragraph" w:customStyle="1" w:styleId="21">
    <w:name w:val="Заголовок 21"/>
    <w:basedOn w:val="a"/>
    <w:next w:val="a"/>
    <w:link w:val="27"/>
    <w:uiPriority w:val="9"/>
    <w:qFormat/>
    <w:pPr>
      <w:keepNext/>
      <w:numPr>
        <w:ilvl w:val="1"/>
        <w:numId w:val="16"/>
      </w:numPr>
      <w:spacing w:line="240" w:lineRule="auto"/>
      <w:ind w:right="-375" w:firstLine="0"/>
      <w:jc w:val="center"/>
      <w:outlineLvl w:val="1"/>
    </w:pPr>
    <w:rPr>
      <w:rFonts w:asciiTheme="minorHAnsi" w:eastAsiaTheme="minorHAnsi" w:hAnsiTheme="minorHAnsi" w:cstheme="minorBidi"/>
      <w:b/>
      <w:sz w:val="24"/>
      <w:szCs w:val="22"/>
      <w:lang w:eastAsia="en-US"/>
    </w:rPr>
  </w:style>
  <w:style w:type="paragraph" w:customStyle="1" w:styleId="31">
    <w:name w:val="Заголовок 31"/>
    <w:basedOn w:val="a"/>
    <w:next w:val="a"/>
    <w:uiPriority w:val="99"/>
    <w:qFormat/>
    <w:pPr>
      <w:keepNext/>
      <w:numPr>
        <w:ilvl w:val="2"/>
        <w:numId w:val="16"/>
      </w:numPr>
      <w:spacing w:line="240" w:lineRule="auto"/>
      <w:ind w:left="-567" w:right="-375" w:firstLine="0"/>
      <w:jc w:val="center"/>
      <w:outlineLvl w:val="2"/>
    </w:pPr>
    <w:rPr>
      <w:b/>
      <w:sz w:val="24"/>
      <w:szCs w:val="20"/>
    </w:rPr>
  </w:style>
  <w:style w:type="character" w:customStyle="1" w:styleId="markedcontent">
    <w:name w:val="markedcontent"/>
    <w:basedOn w:val="a0"/>
  </w:style>
  <w:style w:type="paragraph" w:customStyle="1" w:styleId="15">
    <w:name w:val="Знак1"/>
    <w:basedOn w:val="a"/>
    <w:uiPriority w:val="99"/>
    <w:pPr>
      <w:spacing w:after="160" w:line="240" w:lineRule="exact"/>
      <w:ind w:firstLine="0"/>
      <w:jc w:val="left"/>
    </w:pPr>
    <w:rPr>
      <w:rFonts w:ascii="Verdana" w:hAnsi="Verdana"/>
      <w:sz w:val="20"/>
      <w:szCs w:val="20"/>
      <w:lang w:val="en-US" w:eastAsia="en-US"/>
    </w:rPr>
  </w:style>
  <w:style w:type="paragraph" w:styleId="affa">
    <w:name w:val="Body Text Indent"/>
    <w:basedOn w:val="a"/>
    <w:link w:val="affb"/>
    <w:uiPriority w:val="99"/>
    <w:pPr>
      <w:spacing w:after="120" w:line="240" w:lineRule="auto"/>
      <w:ind w:left="283" w:firstLine="0"/>
      <w:jc w:val="left"/>
    </w:pPr>
    <w:rPr>
      <w:rFonts w:ascii="Calibri" w:hAnsi="Calibri"/>
      <w:sz w:val="22"/>
      <w:szCs w:val="22"/>
      <w:lang w:eastAsia="en-US"/>
    </w:rPr>
  </w:style>
  <w:style w:type="character" w:customStyle="1" w:styleId="affb">
    <w:name w:val="Основной текст с отступом Знак"/>
    <w:basedOn w:val="a0"/>
    <w:link w:val="affa"/>
    <w:uiPriority w:val="99"/>
    <w:rPr>
      <w:rFonts w:ascii="Calibri" w:eastAsia="Times New Roman" w:hAnsi="Calibri" w:cs="Times New Roman"/>
    </w:rPr>
  </w:style>
  <w:style w:type="paragraph" w:customStyle="1" w:styleId="16">
    <w:name w:val="Знак Знак Знак1 Знак Знак Знак Знак"/>
    <w:basedOn w:val="a"/>
    <w:uiPriority w:val="99"/>
    <w:pPr>
      <w:spacing w:after="160" w:line="240" w:lineRule="exact"/>
      <w:ind w:firstLine="0"/>
      <w:jc w:val="left"/>
    </w:pPr>
    <w:rPr>
      <w:rFonts w:ascii="Verdana" w:hAnsi="Verdana" w:cs="Verdana"/>
      <w:sz w:val="24"/>
      <w:szCs w:val="24"/>
      <w:lang w:val="en-US" w:eastAsia="en-US"/>
    </w:rPr>
  </w:style>
  <w:style w:type="paragraph" w:customStyle="1" w:styleId="affc">
    <w:name w:val="Знак"/>
    <w:basedOn w:val="a"/>
    <w:uiPriority w:val="99"/>
    <w:pPr>
      <w:tabs>
        <w:tab w:val="num" w:pos="1287"/>
      </w:tabs>
      <w:spacing w:after="160" w:line="240" w:lineRule="exact"/>
      <w:ind w:left="1287" w:hanging="360"/>
    </w:pPr>
    <w:rPr>
      <w:rFonts w:ascii="Verdana" w:hAnsi="Verdana" w:cs="Arial"/>
      <w:sz w:val="20"/>
      <w:szCs w:val="20"/>
      <w:lang w:val="en-US" w:eastAsia="en-US"/>
    </w:rPr>
  </w:style>
  <w:style w:type="paragraph" w:customStyle="1" w:styleId="affd">
    <w:name w:val="Знак Знак Знак Знак"/>
    <w:basedOn w:val="a"/>
    <w:uiPriority w:val="99"/>
    <w:pPr>
      <w:tabs>
        <w:tab w:val="num" w:pos="1287"/>
      </w:tabs>
      <w:spacing w:after="160" w:line="240" w:lineRule="exact"/>
      <w:ind w:left="1287" w:hanging="360"/>
    </w:pPr>
    <w:rPr>
      <w:rFonts w:ascii="Verdana" w:hAnsi="Verdana" w:cs="Verdana"/>
      <w:sz w:val="20"/>
      <w:szCs w:val="20"/>
      <w:lang w:val="en-US" w:eastAsia="en-US"/>
    </w:rPr>
  </w:style>
  <w:style w:type="paragraph" w:styleId="28">
    <w:name w:val="Body Text Indent 2"/>
    <w:basedOn w:val="a"/>
    <w:link w:val="29"/>
    <w:uiPriority w:val="99"/>
    <w:pPr>
      <w:spacing w:after="120" w:line="480" w:lineRule="auto"/>
      <w:ind w:left="283" w:firstLine="0"/>
      <w:jc w:val="left"/>
    </w:pPr>
    <w:rPr>
      <w:sz w:val="24"/>
      <w:szCs w:val="24"/>
    </w:rPr>
  </w:style>
  <w:style w:type="character" w:customStyle="1" w:styleId="29">
    <w:name w:val="Основной текст с отступом 2 Знак"/>
    <w:basedOn w:val="a0"/>
    <w:link w:val="28"/>
    <w:uiPriority w:val="99"/>
    <w:rPr>
      <w:rFonts w:ascii="Times New Roman" w:eastAsia="Times New Roman" w:hAnsi="Times New Roman" w:cs="Times New Roman"/>
      <w:sz w:val="24"/>
      <w:szCs w:val="24"/>
      <w:lang w:eastAsia="ru-RU"/>
    </w:rPr>
  </w:style>
  <w:style w:type="paragraph" w:styleId="affe">
    <w:name w:val="Plain Text"/>
    <w:basedOn w:val="a"/>
    <w:link w:val="afff"/>
    <w:pPr>
      <w:spacing w:line="240" w:lineRule="auto"/>
      <w:ind w:firstLine="0"/>
      <w:jc w:val="left"/>
    </w:pPr>
    <w:rPr>
      <w:rFonts w:ascii="Courier New" w:hAnsi="Courier New" w:cs="Courier New"/>
      <w:sz w:val="20"/>
      <w:szCs w:val="20"/>
    </w:rPr>
  </w:style>
  <w:style w:type="character" w:customStyle="1" w:styleId="afff">
    <w:name w:val="Текст Знак"/>
    <w:basedOn w:val="a0"/>
    <w:link w:val="affe"/>
    <w:rPr>
      <w:rFonts w:ascii="Courier New" w:eastAsia="Times New Roman" w:hAnsi="Courier New" w:cs="Courier New"/>
      <w:sz w:val="20"/>
      <w:szCs w:val="20"/>
      <w:lang w:eastAsia="ru-RU"/>
    </w:rPr>
  </w:style>
  <w:style w:type="character" w:customStyle="1" w:styleId="white">
    <w:name w:val="white"/>
    <w:basedOn w:val="a0"/>
    <w:uiPriority w:val="99"/>
    <w:rPr>
      <w:rFonts w:cs="Times New Roman"/>
    </w:rPr>
  </w:style>
  <w:style w:type="paragraph" w:customStyle="1" w:styleId="afff0">
    <w:name w:val="Знак Знак Знак Знак Знак Знак Знак"/>
    <w:basedOn w:val="a"/>
    <w:uiPriority w:val="99"/>
    <w:pPr>
      <w:spacing w:after="160" w:line="240" w:lineRule="exact"/>
      <w:ind w:firstLine="0"/>
      <w:jc w:val="left"/>
    </w:pPr>
    <w:rPr>
      <w:rFonts w:ascii="Verdana" w:hAnsi="Verdana"/>
      <w:sz w:val="20"/>
      <w:szCs w:val="20"/>
      <w:lang w:val="en-US" w:eastAsia="en-US"/>
    </w:rPr>
  </w:style>
  <w:style w:type="paragraph" w:styleId="HTML0">
    <w:name w:val="HTML Preformatted"/>
    <w:basedOn w:val="a"/>
    <w:link w:val="HTML1"/>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hAnsi="Courier New"/>
      <w:sz w:val="20"/>
      <w:szCs w:val="20"/>
    </w:rPr>
  </w:style>
  <w:style w:type="character" w:customStyle="1" w:styleId="HTML1">
    <w:name w:val="Стандартный HTML Знак"/>
    <w:basedOn w:val="a0"/>
    <w:link w:val="HTML0"/>
    <w:uiPriority w:val="99"/>
    <w:rPr>
      <w:rFonts w:ascii="Courier New" w:eastAsia="Times New Roman" w:hAnsi="Courier New" w:cs="Times New Roman"/>
      <w:sz w:val="20"/>
      <w:szCs w:val="20"/>
      <w:lang w:eastAsia="ru-RU"/>
    </w:rPr>
  </w:style>
  <w:style w:type="character" w:customStyle="1" w:styleId="HTMLPreformattedChar">
    <w:name w:val="HTML Preformatted Char"/>
    <w:basedOn w:val="a0"/>
    <w:uiPriority w:val="99"/>
    <w:rPr>
      <w:rFonts w:ascii="Courier New" w:hAnsi="Courier New" w:cs="Times New Roman"/>
      <w:color w:val="000000"/>
      <w:lang w:val="ru-RU" w:eastAsia="ru-RU"/>
    </w:rPr>
  </w:style>
  <w:style w:type="character" w:customStyle="1" w:styleId="HeaderChar">
    <w:name w:val="Header Char"/>
    <w:basedOn w:val="a0"/>
    <w:uiPriority w:val="99"/>
    <w:semiHidden/>
    <w:rPr>
      <w:rFonts w:cs="Times New Roman"/>
      <w:sz w:val="20"/>
      <w:szCs w:val="20"/>
    </w:rPr>
  </w:style>
  <w:style w:type="paragraph" w:customStyle="1" w:styleId="211">
    <w:name w:val="Знак 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pPr>
      <w:tabs>
        <w:tab w:val="num" w:pos="1287"/>
      </w:tabs>
      <w:spacing w:after="160" w:line="240" w:lineRule="exact"/>
      <w:ind w:left="1287" w:hanging="360"/>
    </w:pPr>
    <w:rPr>
      <w:rFonts w:ascii="Verdana" w:hAnsi="Verdana" w:cs="Arial"/>
      <w:sz w:val="20"/>
      <w:szCs w:val="20"/>
      <w:lang w:val="en-US" w:eastAsia="en-US"/>
    </w:rPr>
  </w:style>
  <w:style w:type="paragraph" w:customStyle="1" w:styleId="NoSpacing1">
    <w:name w:val="No Spacing1"/>
    <w:link w:val="NoSpacingChar"/>
    <w:uiPriority w:val="99"/>
    <w:pPr>
      <w:spacing w:after="0" w:line="240" w:lineRule="auto"/>
    </w:pPr>
    <w:rPr>
      <w:rFonts w:ascii="Calibri" w:eastAsia="Times New Roman" w:hAnsi="Calibri" w:cs="Times New Roman"/>
    </w:rPr>
  </w:style>
  <w:style w:type="paragraph" w:styleId="33">
    <w:name w:val="Body Text Indent 3"/>
    <w:basedOn w:val="a"/>
    <w:link w:val="34"/>
    <w:uiPriority w:val="99"/>
    <w:pPr>
      <w:widowControl w:val="0"/>
      <w:spacing w:after="120" w:line="240" w:lineRule="auto"/>
      <w:ind w:left="283" w:firstLine="0"/>
      <w:jc w:val="left"/>
    </w:pPr>
    <w:rPr>
      <w:sz w:val="16"/>
      <w:szCs w:val="16"/>
    </w:rPr>
  </w:style>
  <w:style w:type="character" w:customStyle="1" w:styleId="34">
    <w:name w:val="Основной текст с отступом 3 Знак"/>
    <w:basedOn w:val="a0"/>
    <w:link w:val="33"/>
    <w:uiPriority w:val="99"/>
    <w:rPr>
      <w:rFonts w:ascii="Times New Roman" w:eastAsia="Times New Roman" w:hAnsi="Times New Roman" w:cs="Times New Roman"/>
      <w:sz w:val="16"/>
      <w:szCs w:val="16"/>
      <w:lang w:eastAsia="ru-RU"/>
    </w:rPr>
  </w:style>
  <w:style w:type="paragraph" w:customStyle="1" w:styleId="17">
    <w:name w:val="1"/>
    <w:basedOn w:val="a"/>
    <w:uiPriority w:val="99"/>
    <w:pPr>
      <w:tabs>
        <w:tab w:val="num" w:pos="1287"/>
      </w:tabs>
      <w:spacing w:after="160" w:line="240" w:lineRule="exact"/>
      <w:ind w:left="1287" w:hanging="360"/>
    </w:pPr>
    <w:rPr>
      <w:rFonts w:ascii="Verdana" w:hAnsi="Verdana" w:cs="Arial"/>
      <w:sz w:val="20"/>
      <w:szCs w:val="20"/>
      <w:lang w:val="en-US" w:eastAsia="en-US"/>
    </w:rPr>
  </w:style>
  <w:style w:type="paragraph" w:customStyle="1" w:styleId="35">
    <w:name w:val="Знак3"/>
    <w:basedOn w:val="a"/>
    <w:uiPriority w:val="99"/>
    <w:pPr>
      <w:tabs>
        <w:tab w:val="num" w:pos="1287"/>
      </w:tabs>
      <w:spacing w:after="160" w:line="240" w:lineRule="exact"/>
      <w:ind w:left="1287" w:hanging="360"/>
    </w:pPr>
    <w:rPr>
      <w:rFonts w:ascii="Verdana" w:hAnsi="Verdana" w:cs="Arial"/>
      <w:sz w:val="20"/>
      <w:szCs w:val="20"/>
      <w:lang w:val="en-US" w:eastAsia="en-US"/>
    </w:rPr>
  </w:style>
  <w:style w:type="paragraph" w:customStyle="1" w:styleId="42">
    <w:name w:val="Знак Знак4 Знак Знак"/>
    <w:basedOn w:val="a"/>
    <w:uiPriority w:val="99"/>
    <w:pPr>
      <w:spacing w:after="160" w:line="240" w:lineRule="exact"/>
      <w:ind w:firstLine="0"/>
      <w:jc w:val="left"/>
    </w:pPr>
    <w:rPr>
      <w:rFonts w:ascii="Verdana" w:hAnsi="Verdana"/>
      <w:sz w:val="20"/>
      <w:szCs w:val="20"/>
      <w:lang w:val="en-US" w:eastAsia="en-US"/>
    </w:rPr>
  </w:style>
  <w:style w:type="character" w:customStyle="1" w:styleId="18">
    <w:name w:val="Верхний колонтитул Знак1"/>
    <w:rPr>
      <w:lang w:val="ru-RU" w:eastAsia="ru-RU"/>
    </w:rPr>
  </w:style>
  <w:style w:type="paragraph" w:customStyle="1" w:styleId="ConsNonformat">
    <w:name w:val="ConsNonformat"/>
    <w:link w:val="ConsNonformat0"/>
    <w:uiPriority w:val="99"/>
    <w:pPr>
      <w:widowControl w:val="0"/>
      <w:spacing w:after="0" w:line="240" w:lineRule="auto"/>
    </w:pPr>
    <w:rPr>
      <w:rFonts w:ascii="Courier New" w:eastAsia="Times New Roman" w:hAnsi="Courier New" w:cs="Times New Roman"/>
      <w:lang w:eastAsia="ru-RU"/>
    </w:rPr>
  </w:style>
  <w:style w:type="character" w:customStyle="1" w:styleId="ConsNonformat0">
    <w:name w:val="ConsNonformat Знак"/>
    <w:link w:val="ConsNonformat"/>
    <w:uiPriority w:val="99"/>
    <w:rPr>
      <w:rFonts w:ascii="Courier New" w:eastAsia="Times New Roman" w:hAnsi="Courier New" w:cs="Times New Roman"/>
      <w:lang w:eastAsia="ru-RU"/>
    </w:rPr>
  </w:style>
  <w:style w:type="paragraph" w:customStyle="1" w:styleId="19">
    <w:name w:val="Знак Знак Знак Знак1"/>
    <w:basedOn w:val="a"/>
    <w:uiPriority w:val="99"/>
    <w:pPr>
      <w:tabs>
        <w:tab w:val="num" w:pos="1287"/>
      </w:tabs>
      <w:spacing w:after="160" w:line="240" w:lineRule="exact"/>
      <w:ind w:left="1287" w:hanging="360"/>
    </w:pPr>
    <w:rPr>
      <w:rFonts w:ascii="Verdana" w:hAnsi="Verdana" w:cs="Arial"/>
      <w:sz w:val="20"/>
      <w:szCs w:val="20"/>
      <w:lang w:val="en-US" w:eastAsia="en-US"/>
    </w:rPr>
  </w:style>
  <w:style w:type="paragraph" w:styleId="36">
    <w:name w:val="Body Text 3"/>
    <w:basedOn w:val="a"/>
    <w:link w:val="37"/>
    <w:uiPriority w:val="99"/>
    <w:pPr>
      <w:spacing w:after="120" w:line="240" w:lineRule="auto"/>
      <w:ind w:firstLine="0"/>
      <w:jc w:val="left"/>
    </w:pPr>
    <w:rPr>
      <w:sz w:val="16"/>
      <w:szCs w:val="16"/>
    </w:rPr>
  </w:style>
  <w:style w:type="character" w:customStyle="1" w:styleId="37">
    <w:name w:val="Основной текст 3 Знак"/>
    <w:basedOn w:val="a0"/>
    <w:link w:val="36"/>
    <w:uiPriority w:val="99"/>
    <w:rPr>
      <w:rFonts w:ascii="Times New Roman" w:eastAsia="Times New Roman" w:hAnsi="Times New Roman" w:cs="Times New Roman"/>
      <w:sz w:val="16"/>
      <w:szCs w:val="16"/>
      <w:lang w:eastAsia="ru-RU"/>
    </w:rPr>
  </w:style>
  <w:style w:type="character" w:customStyle="1" w:styleId="FontStyle12">
    <w:name w:val="Font Style12"/>
    <w:uiPriority w:val="99"/>
    <w:rPr>
      <w:rFonts w:ascii="Times New Roman" w:hAnsi="Times New Roman"/>
      <w:sz w:val="26"/>
    </w:rPr>
  </w:style>
  <w:style w:type="character" w:customStyle="1" w:styleId="1a">
    <w:name w:val="Верхний колонтитул Знак Знак Знак1"/>
    <w:rPr>
      <w:rFonts w:ascii="Courier New" w:hAnsi="Courier New"/>
      <w:sz w:val="24"/>
      <w:lang w:val="ru-RU" w:eastAsia="ru-RU"/>
    </w:rPr>
  </w:style>
  <w:style w:type="character" w:customStyle="1" w:styleId="1b">
    <w:name w:val="Основной текст1"/>
    <w:uiPriority w:val="99"/>
    <w:rPr>
      <w:color w:val="000000"/>
      <w:spacing w:val="0"/>
      <w:position w:val="0"/>
      <w:sz w:val="23"/>
      <w:shd w:val="clear" w:color="auto" w:fill="FFFFFF"/>
      <w:lang w:val="ru-RU"/>
    </w:rPr>
  </w:style>
  <w:style w:type="paragraph" w:customStyle="1" w:styleId="43">
    <w:name w:val="Основной текст4"/>
    <w:basedOn w:val="a"/>
    <w:uiPriority w:val="99"/>
    <w:pPr>
      <w:widowControl w:val="0"/>
      <w:shd w:val="clear" w:color="auto" w:fill="FFFFFF"/>
      <w:spacing w:before="1800" w:after="360" w:line="240" w:lineRule="atLeast"/>
      <w:ind w:firstLine="0"/>
      <w:jc w:val="center"/>
    </w:pPr>
    <w:rPr>
      <w:sz w:val="23"/>
      <w:szCs w:val="20"/>
      <w:shd w:val="clear" w:color="auto" w:fill="FFFFFF"/>
    </w:rPr>
  </w:style>
  <w:style w:type="paragraph" w:styleId="2a">
    <w:name w:val="Body Text 2"/>
    <w:basedOn w:val="a"/>
    <w:link w:val="2b"/>
    <w:uiPriority w:val="99"/>
    <w:pPr>
      <w:spacing w:after="120" w:line="480" w:lineRule="auto"/>
      <w:ind w:firstLine="0"/>
      <w:jc w:val="left"/>
    </w:pPr>
    <w:rPr>
      <w:sz w:val="24"/>
      <w:szCs w:val="20"/>
    </w:rPr>
  </w:style>
  <w:style w:type="character" w:customStyle="1" w:styleId="2b">
    <w:name w:val="Основной текст 2 Знак"/>
    <w:basedOn w:val="a0"/>
    <w:link w:val="2a"/>
    <w:uiPriority w:val="99"/>
    <w:rPr>
      <w:rFonts w:ascii="Times New Roman" w:eastAsia="Times New Roman" w:hAnsi="Times New Roman" w:cs="Times New Roman"/>
      <w:sz w:val="24"/>
      <w:szCs w:val="20"/>
      <w:lang w:eastAsia="ru-RU"/>
    </w:rPr>
  </w:style>
  <w:style w:type="paragraph" w:styleId="afff1">
    <w:name w:val="Block Text"/>
    <w:basedOn w:val="a"/>
    <w:pPr>
      <w:spacing w:line="240" w:lineRule="auto"/>
      <w:ind w:left="-540" w:right="5395" w:firstLine="540"/>
    </w:pPr>
    <w:rPr>
      <w:sz w:val="24"/>
      <w:szCs w:val="24"/>
    </w:rPr>
  </w:style>
  <w:style w:type="paragraph" w:customStyle="1" w:styleId="1c">
    <w:name w:val="Знак1 Знак Знак Знак"/>
    <w:basedOn w:val="a"/>
    <w:uiPriority w:val="99"/>
    <w:pPr>
      <w:spacing w:before="100" w:beforeAutospacing="1" w:after="100" w:afterAutospacing="1" w:line="240" w:lineRule="auto"/>
      <w:ind w:firstLine="0"/>
      <w:jc w:val="left"/>
    </w:pPr>
    <w:rPr>
      <w:rFonts w:ascii="Tahoma" w:hAnsi="Tahoma" w:cs="Tahoma"/>
      <w:sz w:val="20"/>
      <w:szCs w:val="20"/>
      <w:lang w:val="en-US" w:eastAsia="en-US"/>
    </w:rPr>
  </w:style>
  <w:style w:type="character" w:customStyle="1" w:styleId="NoSpacingChar">
    <w:name w:val="No Spacing Char"/>
    <w:link w:val="NoSpacing1"/>
    <w:uiPriority w:val="99"/>
    <w:rPr>
      <w:rFonts w:ascii="Calibri" w:eastAsia="Times New Roman" w:hAnsi="Calibri" w:cs="Times New Roman"/>
    </w:rPr>
  </w:style>
  <w:style w:type="character" w:customStyle="1" w:styleId="110">
    <w:name w:val="Верхний колонтитул Знак1 Знак Знак1"/>
    <w:uiPriority w:val="99"/>
    <w:rPr>
      <w:sz w:val="22"/>
      <w:lang w:eastAsia="en-US"/>
    </w:rPr>
  </w:style>
  <w:style w:type="character" w:customStyle="1" w:styleId="2c">
    <w:name w:val="Знак Знак2"/>
    <w:uiPriority w:val="99"/>
    <w:rPr>
      <w:sz w:val="24"/>
    </w:rPr>
  </w:style>
  <w:style w:type="character" w:customStyle="1" w:styleId="1d">
    <w:name w:val="Знак Знак1 Знак"/>
    <w:basedOn w:val="a0"/>
    <w:rPr>
      <w:rFonts w:ascii="Times New Roman" w:eastAsia="Times New Roman" w:hAnsi="Times New Roman" w:cs="Times New Roman"/>
      <w:sz w:val="24"/>
      <w:szCs w:val="20"/>
      <w:lang w:eastAsia="ru-RU"/>
    </w:rPr>
  </w:style>
  <w:style w:type="paragraph" w:customStyle="1" w:styleId="130">
    <w:name w:val="Обычный + 13 пт"/>
    <w:basedOn w:val="a"/>
    <w:pPr>
      <w:spacing w:line="240" w:lineRule="auto"/>
      <w:ind w:firstLine="708"/>
    </w:pPr>
    <w:rPr>
      <w:sz w:val="26"/>
      <w:szCs w:val="26"/>
    </w:rPr>
  </w:style>
  <w:style w:type="character" w:customStyle="1" w:styleId="52">
    <w:name w:val="Основной текст (5)_"/>
    <w:basedOn w:val="a0"/>
    <w:link w:val="53"/>
    <w:rPr>
      <w:b/>
      <w:bCs/>
      <w:sz w:val="28"/>
      <w:szCs w:val="28"/>
      <w:shd w:val="clear" w:color="auto" w:fill="FFFFFF"/>
    </w:rPr>
  </w:style>
  <w:style w:type="paragraph" w:customStyle="1" w:styleId="53">
    <w:name w:val="Основной текст (5)"/>
    <w:basedOn w:val="a"/>
    <w:link w:val="52"/>
    <w:pPr>
      <w:widowControl w:val="0"/>
      <w:shd w:val="clear" w:color="auto" w:fill="FFFFFF"/>
      <w:spacing w:line="322" w:lineRule="exact"/>
      <w:ind w:firstLine="0"/>
    </w:pPr>
    <w:rPr>
      <w:rFonts w:asciiTheme="minorHAnsi" w:eastAsiaTheme="minorHAnsi" w:hAnsiTheme="minorHAnsi" w:cstheme="minorBidi"/>
      <w:b/>
      <w:bCs/>
      <w:lang w:eastAsia="en-US"/>
    </w:rPr>
  </w:style>
  <w:style w:type="character" w:customStyle="1" w:styleId="44">
    <w:name w:val="Основной текст (4)_"/>
    <w:basedOn w:val="a0"/>
    <w:link w:val="45"/>
    <w:rPr>
      <w:b/>
      <w:bCs/>
      <w:shd w:val="clear" w:color="auto" w:fill="FFFFFF"/>
    </w:rPr>
  </w:style>
  <w:style w:type="paragraph" w:customStyle="1" w:styleId="45">
    <w:name w:val="Основной текст (4)"/>
    <w:basedOn w:val="a"/>
    <w:link w:val="44"/>
    <w:pPr>
      <w:widowControl w:val="0"/>
      <w:shd w:val="clear" w:color="auto" w:fill="FFFFFF"/>
      <w:spacing w:line="269" w:lineRule="exact"/>
      <w:ind w:firstLine="0"/>
      <w:jc w:val="left"/>
    </w:pPr>
    <w:rPr>
      <w:rFonts w:asciiTheme="minorHAnsi" w:eastAsiaTheme="minorHAnsi" w:hAnsiTheme="minorHAnsi" w:cstheme="minorBidi"/>
      <w:b/>
      <w:bCs/>
      <w:sz w:val="22"/>
      <w:szCs w:val="22"/>
      <w:lang w:eastAsia="en-US"/>
    </w:rPr>
  </w:style>
  <w:style w:type="character" w:customStyle="1" w:styleId="2d">
    <w:name w:val="Основной текст (2)_"/>
    <w:basedOn w:val="a0"/>
    <w:link w:val="2e"/>
    <w:rPr>
      <w:sz w:val="26"/>
      <w:szCs w:val="26"/>
      <w:shd w:val="clear" w:color="auto" w:fill="FFFFFF"/>
    </w:rPr>
  </w:style>
  <w:style w:type="paragraph" w:customStyle="1" w:styleId="2e">
    <w:name w:val="Основной текст (2)"/>
    <w:basedOn w:val="a"/>
    <w:link w:val="2d"/>
    <w:pPr>
      <w:widowControl w:val="0"/>
      <w:shd w:val="clear" w:color="auto" w:fill="FFFFFF"/>
      <w:spacing w:line="322" w:lineRule="exact"/>
      <w:ind w:firstLine="0"/>
      <w:jc w:val="left"/>
    </w:pPr>
    <w:rPr>
      <w:rFonts w:asciiTheme="minorHAnsi" w:eastAsiaTheme="minorHAnsi" w:hAnsiTheme="minorHAnsi" w:cstheme="minorBidi"/>
      <w:sz w:val="26"/>
      <w:szCs w:val="26"/>
      <w:lang w:eastAsia="en-US"/>
    </w:rPr>
  </w:style>
  <w:style w:type="paragraph" w:customStyle="1" w:styleId="afff2">
    <w:name w:val="_Базовый"/>
    <w:basedOn w:val="a"/>
    <w:pPr>
      <w:tabs>
        <w:tab w:val="left" w:pos="736"/>
        <w:tab w:val="left" w:pos="914"/>
      </w:tabs>
      <w:spacing w:line="240" w:lineRule="auto"/>
      <w:ind w:firstLine="850"/>
    </w:pPr>
    <w:rPr>
      <w:rFonts w:eastAsia="Arial" w:cs="Arial"/>
      <w:lang w:eastAsia="zh-CN" w:bidi="hi-IN"/>
    </w:rPr>
  </w:style>
  <w:style w:type="paragraph" w:customStyle="1" w:styleId="ConsPlusNonformat">
    <w:name w:val="ConsPlusNonformat"/>
    <w:pPr>
      <w:spacing w:after="0" w:line="240" w:lineRule="auto"/>
    </w:pPr>
    <w:rPr>
      <w:rFonts w:ascii="Courier New" w:eastAsia="Times New Roman" w:hAnsi="Courier New" w:cs="Courier New"/>
      <w:sz w:val="20"/>
      <w:szCs w:val="20"/>
      <w:lang w:eastAsia="ru-RU"/>
    </w:rPr>
  </w:style>
  <w:style w:type="character" w:customStyle="1" w:styleId="1e">
    <w:name w:val="Выделение1"/>
    <w:uiPriority w:val="20"/>
    <w:qFormat/>
    <w:rPr>
      <w:i/>
      <w:iCs/>
    </w:rPr>
  </w:style>
  <w:style w:type="character" w:customStyle="1" w:styleId="40">
    <w:name w:val="Заголовок 4 Знак"/>
    <w:basedOn w:val="a0"/>
    <w:link w:val="4"/>
    <w:uiPriority w:val="9"/>
    <w:rPr>
      <w:rFonts w:asciiTheme="majorHAnsi" w:eastAsiaTheme="majorEastAsia" w:hAnsiTheme="majorHAnsi" w:cstheme="majorBidi"/>
      <w:b/>
      <w:bCs/>
      <w:i/>
      <w:iCs/>
      <w:color w:val="5B9BD5" w:themeColor="accent1"/>
      <w:sz w:val="28"/>
      <w:szCs w:val="28"/>
      <w:lang w:eastAsia="ru-RU"/>
    </w:rPr>
  </w:style>
  <w:style w:type="paragraph" w:customStyle="1" w:styleId="afff3">
    <w:name w:val="Информация об изменениях"/>
    <w:basedOn w:val="a"/>
    <w:next w:val="a"/>
    <w:uiPriority w:val="99"/>
    <w:pPr>
      <w:spacing w:before="180" w:line="240" w:lineRule="auto"/>
      <w:ind w:left="360" w:right="360" w:firstLine="0"/>
    </w:pPr>
    <w:rPr>
      <w:rFonts w:ascii="Arial" w:hAnsi="Arial" w:cs="Arial"/>
      <w:color w:val="353842"/>
      <w:sz w:val="18"/>
      <w:szCs w:val="18"/>
      <w:shd w:val="clear" w:color="auto" w:fill="EAEFE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88" w:lineRule="auto"/>
      <w:ind w:firstLine="567"/>
      <w:jc w:val="both"/>
    </w:pPr>
    <w:rPr>
      <w:rFonts w:ascii="Times New Roman" w:eastAsia="Times New Roman" w:hAnsi="Times New Roman" w:cs="Times New Roman"/>
      <w:sz w:val="28"/>
      <w:szCs w:val="28"/>
      <w:lang w:eastAsia="ru-RU"/>
    </w:rPr>
  </w:style>
  <w:style w:type="paragraph" w:styleId="1">
    <w:name w:val="heading 1"/>
    <w:basedOn w:val="a"/>
    <w:next w:val="a"/>
    <w:link w:val="10"/>
    <w:uiPriority w:val="99"/>
    <w:qFormat/>
    <w:pPr>
      <w:spacing w:before="480" w:line="276" w:lineRule="auto"/>
      <w:ind w:firstLine="0"/>
      <w:contextualSpacing/>
      <w:jc w:val="left"/>
      <w:outlineLvl w:val="0"/>
    </w:pPr>
    <w:rPr>
      <w:rFonts w:ascii="Cambria" w:hAnsi="Cambria"/>
      <w:b/>
      <w:bCs/>
    </w:rPr>
  </w:style>
  <w:style w:type="paragraph" w:styleId="2">
    <w:name w:val="heading 2"/>
    <w:basedOn w:val="a"/>
    <w:next w:val="a"/>
    <w:link w:val="21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semiHidden/>
    <w:unhideWhenUsed/>
    <w:qFormat/>
    <w:pPr>
      <w:keepNext/>
      <w:keepLines/>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ing1Char">
    <w:name w:val="Heading 1 Char"/>
    <w:basedOn w:val="a0"/>
    <w:uiPriority w:val="9"/>
    <w:rPr>
      <w:rFonts w:ascii="Arial" w:eastAsia="Arial" w:hAnsi="Arial" w:cs="Arial"/>
      <w:sz w:val="40"/>
      <w:szCs w:val="40"/>
    </w:rPr>
  </w:style>
  <w:style w:type="character" w:customStyle="1" w:styleId="210">
    <w:name w:val="Заголовок 2 Знак1"/>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Название Знак"/>
    <w:basedOn w:val="a0"/>
    <w:link w:val="a3"/>
    <w:uiPriority w:val="10"/>
    <w:rPr>
      <w:sz w:val="48"/>
      <w:szCs w:val="48"/>
    </w:rPr>
  </w:style>
  <w:style w:type="paragraph" w:styleId="a5">
    <w:name w:val="Subtitle"/>
    <w:basedOn w:val="a"/>
    <w:next w:val="a"/>
    <w:link w:val="a6"/>
    <w:uiPriority w:val="11"/>
    <w:qFormat/>
    <w:pPr>
      <w:spacing w:before="200" w:after="200"/>
    </w:pPr>
    <w:rPr>
      <w:sz w:val="24"/>
      <w:szCs w:val="24"/>
    </w:rPr>
  </w:style>
  <w:style w:type="character" w:customStyle="1" w:styleId="a6">
    <w:name w:val="Подзаголовок Знак"/>
    <w:basedOn w:val="a0"/>
    <w:link w:val="a5"/>
    <w:uiPriority w:val="11"/>
    <w:rPr>
      <w:sz w:val="24"/>
      <w:szCs w:val="24"/>
    </w:rPr>
  </w:style>
  <w:style w:type="paragraph" w:styleId="20">
    <w:name w:val="Quote"/>
    <w:basedOn w:val="a"/>
    <w:next w:val="a"/>
    <w:link w:val="22"/>
    <w:uiPriority w:val="29"/>
    <w:qFormat/>
    <w:pPr>
      <w:ind w:left="720" w:right="720"/>
    </w:pPr>
    <w:rPr>
      <w:i/>
    </w:rPr>
  </w:style>
  <w:style w:type="character" w:customStyle="1" w:styleId="22">
    <w:name w:val="Цитата 2 Знак"/>
    <w:link w:val="20"/>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FooterChar">
    <w:name w:val="Footer Char"/>
    <w:basedOn w:val="a0"/>
    <w:uiPriority w:val="99"/>
  </w:style>
  <w:style w:type="paragraph" w:styleId="a9">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GridTable7Colorful">
    <w:name w:val="Grid Table 7 Colorful"/>
    <w:basedOn w:val="a1"/>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1">
    <w:name w:val="toc 4"/>
    <w:basedOn w:val="a"/>
    <w:next w:val="a"/>
    <w:uiPriority w:val="39"/>
    <w:unhideWhenUsed/>
    <w:pPr>
      <w:spacing w:after="57"/>
      <w:ind w:left="850" w:firstLine="0"/>
    </w:pPr>
  </w:style>
  <w:style w:type="paragraph" w:styleId="51">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a">
    <w:name w:val="TOC Heading"/>
    <w:uiPriority w:val="39"/>
    <w:unhideWhenUsed/>
  </w:style>
  <w:style w:type="paragraph" w:styleId="ab">
    <w:name w:val="table of figures"/>
    <w:basedOn w:val="a"/>
    <w:next w:val="a"/>
    <w:uiPriority w:val="99"/>
    <w:unhideWhenUsed/>
  </w:style>
  <w:style w:type="paragraph" w:customStyle="1" w:styleId="ConsPlusNormal">
    <w:name w:val="ConsPlusNormal"/>
    <w:pPr>
      <w:widowControl w:val="0"/>
      <w:spacing w:after="0" w:line="240" w:lineRule="auto"/>
      <w:ind w:firstLine="720"/>
    </w:pPr>
    <w:rPr>
      <w:rFonts w:ascii="Arial" w:eastAsia="Times New Roman" w:hAnsi="Arial" w:cs="Arial"/>
      <w:sz w:val="20"/>
      <w:szCs w:val="20"/>
      <w:lang w:eastAsia="ru-RU"/>
    </w:rPr>
  </w:style>
  <w:style w:type="character" w:customStyle="1" w:styleId="10">
    <w:name w:val="Заголовок 1 Знак"/>
    <w:basedOn w:val="a0"/>
    <w:link w:val="1"/>
    <w:uiPriority w:val="99"/>
    <w:rPr>
      <w:rFonts w:ascii="Cambria" w:eastAsia="Times New Roman" w:hAnsi="Cambria" w:cs="Times New Roman"/>
      <w:b/>
      <w:bCs/>
      <w:sz w:val="28"/>
      <w:szCs w:val="28"/>
      <w:lang w:eastAsia="ru-RU"/>
    </w:rPr>
  </w:style>
  <w:style w:type="table" w:styleId="ac">
    <w:name w:val="Table Grid"/>
    <w:basedOn w:val="a1"/>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d">
    <w:name w:val="List Paragraph"/>
    <w:basedOn w:val="a"/>
    <w:link w:val="ae"/>
    <w:uiPriority w:val="34"/>
    <w:qFormat/>
    <w:pPr>
      <w:ind w:left="720"/>
      <w:contextualSpacing/>
    </w:pPr>
  </w:style>
  <w:style w:type="paragraph" w:styleId="af">
    <w:name w:val="footnote text"/>
    <w:basedOn w:val="a"/>
    <w:link w:val="af0"/>
    <w:unhideWhenUsed/>
    <w:qFormat/>
    <w:pPr>
      <w:spacing w:line="240" w:lineRule="auto"/>
      <w:ind w:firstLine="0"/>
      <w:jc w:val="left"/>
    </w:pPr>
    <w:rPr>
      <w:rFonts w:ascii="Calibri" w:hAnsi="Calibri"/>
      <w:sz w:val="20"/>
      <w:szCs w:val="20"/>
    </w:rPr>
  </w:style>
  <w:style w:type="character" w:customStyle="1" w:styleId="af0">
    <w:name w:val="Текст сноски Знак"/>
    <w:basedOn w:val="a0"/>
    <w:link w:val="af"/>
    <w:rPr>
      <w:rFonts w:ascii="Calibri" w:eastAsia="Times New Roman" w:hAnsi="Calibri" w:cs="Times New Roman"/>
      <w:sz w:val="20"/>
      <w:szCs w:val="20"/>
      <w:lang w:eastAsia="ru-RU"/>
    </w:rPr>
  </w:style>
  <w:style w:type="character" w:styleId="af1">
    <w:name w:val="footnote reference"/>
    <w:uiPriority w:val="99"/>
    <w:qFormat/>
    <w:rPr>
      <w:vertAlign w:val="superscript"/>
    </w:rPr>
  </w:style>
  <w:style w:type="character" w:styleId="af2">
    <w:name w:val="Emphasis"/>
    <w:uiPriority w:val="20"/>
    <w:qFormat/>
    <w:rPr>
      <w:rFonts w:cs="Times New Roman"/>
      <w:i/>
    </w:rPr>
  </w:style>
  <w:style w:type="character" w:customStyle="1" w:styleId="ae">
    <w:name w:val="Абзац списка Знак"/>
    <w:link w:val="ad"/>
    <w:uiPriority w:val="34"/>
    <w:rPr>
      <w:rFonts w:ascii="Times New Roman" w:eastAsia="Times New Roman" w:hAnsi="Times New Roman" w:cs="Times New Roman"/>
      <w:sz w:val="28"/>
      <w:szCs w:val="28"/>
      <w:lang w:eastAsia="ru-RU"/>
    </w:rPr>
  </w:style>
  <w:style w:type="character" w:styleId="HTML">
    <w:name w:val="HTML Typewriter"/>
    <w:basedOn w:val="a0"/>
    <w:uiPriority w:val="99"/>
    <w:rPr>
      <w:rFonts w:ascii="Courier New" w:hAnsi="Courier New" w:cs="Times New Roman"/>
      <w:sz w:val="20"/>
    </w:rPr>
  </w:style>
  <w:style w:type="paragraph" w:styleId="af3">
    <w:name w:val="Body Text"/>
    <w:basedOn w:val="a"/>
    <w:link w:val="af4"/>
    <w:uiPriority w:val="99"/>
    <w:pPr>
      <w:spacing w:after="120" w:line="240" w:lineRule="auto"/>
      <w:ind w:firstLine="0"/>
      <w:jc w:val="left"/>
    </w:pPr>
    <w:rPr>
      <w:sz w:val="24"/>
      <w:szCs w:val="24"/>
    </w:rPr>
  </w:style>
  <w:style w:type="character" w:customStyle="1" w:styleId="af4">
    <w:name w:val="Основной текст Знак"/>
    <w:basedOn w:val="a0"/>
    <w:link w:val="af3"/>
    <w:uiPriority w:val="99"/>
    <w:rPr>
      <w:rFonts w:ascii="Times New Roman" w:eastAsia="Times New Roman" w:hAnsi="Times New Roman" w:cs="Times New Roman"/>
      <w:sz w:val="24"/>
      <w:szCs w:val="24"/>
      <w:lang w:eastAsia="ru-RU"/>
    </w:rPr>
  </w:style>
  <w:style w:type="paragraph" w:styleId="af5">
    <w:name w:val="Body Text First Indent"/>
    <w:basedOn w:val="af3"/>
    <w:link w:val="af6"/>
    <w:uiPriority w:val="99"/>
    <w:pPr>
      <w:ind w:firstLine="210"/>
    </w:pPr>
  </w:style>
  <w:style w:type="character" w:customStyle="1" w:styleId="af6">
    <w:name w:val="Красная строка Знак"/>
    <w:basedOn w:val="af4"/>
    <w:link w:val="af5"/>
    <w:uiPriority w:val="99"/>
    <w:rPr>
      <w:rFonts w:ascii="Times New Roman" w:eastAsia="Times New Roman" w:hAnsi="Times New Roman" w:cs="Times New Roman"/>
      <w:sz w:val="24"/>
      <w:szCs w:val="24"/>
      <w:lang w:eastAsia="ru-RU"/>
    </w:rPr>
  </w:style>
  <w:style w:type="character" w:customStyle="1" w:styleId="FontStyle13">
    <w:name w:val="Font Style13"/>
    <w:rPr>
      <w:rFonts w:ascii="Times New Roman" w:hAnsi="Times New Roman"/>
      <w:sz w:val="26"/>
    </w:rPr>
  </w:style>
  <w:style w:type="paragraph" w:customStyle="1" w:styleId="24">
    <w:name w:val="Основной текст2"/>
    <w:basedOn w:val="a"/>
    <w:link w:val="af7"/>
    <w:pPr>
      <w:shd w:val="clear" w:color="auto" w:fill="FFFFFF"/>
      <w:spacing w:after="300" w:line="374" w:lineRule="exact"/>
      <w:ind w:firstLine="0"/>
      <w:jc w:val="right"/>
    </w:pPr>
    <w:rPr>
      <w:sz w:val="26"/>
      <w:szCs w:val="26"/>
    </w:rPr>
  </w:style>
  <w:style w:type="paragraph" w:styleId="af8">
    <w:name w:val="Balloon Text"/>
    <w:basedOn w:val="a"/>
    <w:link w:val="af9"/>
    <w:uiPriority w:val="99"/>
    <w:pPr>
      <w:spacing w:line="240" w:lineRule="auto"/>
      <w:ind w:firstLine="0"/>
      <w:jc w:val="left"/>
    </w:pPr>
    <w:rPr>
      <w:rFonts w:ascii="Segoe UI" w:hAnsi="Segoe UI"/>
      <w:sz w:val="18"/>
      <w:szCs w:val="18"/>
    </w:rPr>
  </w:style>
  <w:style w:type="character" w:customStyle="1" w:styleId="af9">
    <w:name w:val="Текст выноски Знак"/>
    <w:basedOn w:val="a0"/>
    <w:link w:val="af8"/>
    <w:uiPriority w:val="99"/>
    <w:rPr>
      <w:rFonts w:ascii="Segoe UI" w:eastAsia="Times New Roman" w:hAnsi="Segoe UI" w:cs="Times New Roman"/>
      <w:sz w:val="18"/>
      <w:szCs w:val="18"/>
    </w:rPr>
  </w:style>
  <w:style w:type="paragraph" w:customStyle="1" w:styleId="afa">
    <w:name w:val="Прижатый влево"/>
    <w:basedOn w:val="a"/>
    <w:next w:val="a"/>
    <w:pPr>
      <w:spacing w:line="240" w:lineRule="auto"/>
      <w:ind w:firstLine="0"/>
      <w:jc w:val="left"/>
    </w:pPr>
    <w:rPr>
      <w:rFonts w:ascii="Arial" w:hAnsi="Arial"/>
      <w:sz w:val="24"/>
      <w:szCs w:val="24"/>
    </w:rPr>
  </w:style>
  <w:style w:type="character" w:customStyle="1" w:styleId="af7">
    <w:name w:val="Основной текст_"/>
    <w:link w:val="24"/>
    <w:rPr>
      <w:rFonts w:ascii="Times New Roman" w:eastAsia="Times New Roman" w:hAnsi="Times New Roman" w:cs="Times New Roman"/>
      <w:sz w:val="26"/>
      <w:szCs w:val="26"/>
      <w:shd w:val="clear" w:color="auto" w:fill="FFFFFF"/>
    </w:rPr>
  </w:style>
  <w:style w:type="character" w:customStyle="1" w:styleId="FontStyle17">
    <w:name w:val="Font Style17"/>
    <w:uiPriority w:val="99"/>
    <w:rPr>
      <w:rFonts w:ascii="Times New Roman" w:hAnsi="Times New Roman" w:cs="Times New Roman"/>
      <w:color w:val="000000"/>
      <w:sz w:val="24"/>
      <w:szCs w:val="24"/>
    </w:rPr>
  </w:style>
  <w:style w:type="paragraph" w:styleId="afb">
    <w:name w:val="endnote text"/>
    <w:basedOn w:val="a"/>
    <w:link w:val="afc"/>
    <w:uiPriority w:val="99"/>
    <w:pPr>
      <w:spacing w:line="240" w:lineRule="auto"/>
      <w:ind w:firstLine="0"/>
      <w:jc w:val="left"/>
    </w:pPr>
    <w:rPr>
      <w:sz w:val="20"/>
      <w:szCs w:val="20"/>
    </w:rPr>
  </w:style>
  <w:style w:type="character" w:customStyle="1" w:styleId="afc">
    <w:name w:val="Текст концевой сноски Знак"/>
    <w:basedOn w:val="a0"/>
    <w:link w:val="afb"/>
    <w:uiPriority w:val="99"/>
    <w:rPr>
      <w:rFonts w:ascii="Times New Roman" w:eastAsia="Times New Roman" w:hAnsi="Times New Roman" w:cs="Times New Roman"/>
      <w:sz w:val="20"/>
      <w:szCs w:val="20"/>
      <w:lang w:eastAsia="ru-RU"/>
    </w:rPr>
  </w:style>
  <w:style w:type="character" w:styleId="afd">
    <w:name w:val="endnote reference"/>
    <w:uiPriority w:val="99"/>
    <w:rPr>
      <w:vertAlign w:val="superscript"/>
    </w:rPr>
  </w:style>
  <w:style w:type="character" w:styleId="afe">
    <w:name w:val="Intense Emphasis"/>
    <w:uiPriority w:val="21"/>
    <w:qFormat/>
    <w:rPr>
      <w:i/>
      <w:iCs/>
      <w:color w:val="5B9BD5"/>
    </w:rPr>
  </w:style>
  <w:style w:type="character" w:customStyle="1" w:styleId="62">
    <w:name w:val="Основной текст (6)_"/>
    <w:link w:val="63"/>
    <w:rPr>
      <w:spacing w:val="-4"/>
      <w:sz w:val="23"/>
      <w:szCs w:val="23"/>
      <w:shd w:val="clear" w:color="auto" w:fill="FFFFFF"/>
    </w:rPr>
  </w:style>
  <w:style w:type="paragraph" w:customStyle="1" w:styleId="63">
    <w:name w:val="Основной текст (6)"/>
    <w:basedOn w:val="a"/>
    <w:link w:val="62"/>
    <w:pPr>
      <w:widowControl w:val="0"/>
      <w:shd w:val="clear" w:color="auto" w:fill="FFFFFF"/>
      <w:spacing w:line="0" w:lineRule="atLeast"/>
      <w:ind w:firstLine="0"/>
      <w:jc w:val="center"/>
    </w:pPr>
    <w:rPr>
      <w:rFonts w:asciiTheme="minorHAnsi" w:eastAsiaTheme="minorHAnsi" w:hAnsiTheme="minorHAnsi" w:cstheme="minorBidi"/>
      <w:spacing w:val="-4"/>
      <w:sz w:val="23"/>
      <w:szCs w:val="23"/>
      <w:lang w:eastAsia="en-US"/>
    </w:rPr>
  </w:style>
  <w:style w:type="paragraph" w:styleId="aff">
    <w:name w:val="header"/>
    <w:basedOn w:val="a"/>
    <w:link w:val="aff0"/>
    <w:unhideWhenUsed/>
    <w:pPr>
      <w:tabs>
        <w:tab w:val="center" w:pos="4677"/>
        <w:tab w:val="right" w:pos="9355"/>
      </w:tabs>
      <w:spacing w:line="240" w:lineRule="auto"/>
    </w:pPr>
  </w:style>
  <w:style w:type="character" w:customStyle="1" w:styleId="aff0">
    <w:name w:val="Верхний колонтитул Знак"/>
    <w:basedOn w:val="a0"/>
    <w:link w:val="aff"/>
    <w:uiPriority w:val="99"/>
    <w:rPr>
      <w:rFonts w:ascii="Times New Roman" w:eastAsia="Times New Roman" w:hAnsi="Times New Roman" w:cs="Times New Roman"/>
      <w:sz w:val="28"/>
      <w:szCs w:val="28"/>
      <w:lang w:eastAsia="ru-RU"/>
    </w:rPr>
  </w:style>
  <w:style w:type="paragraph" w:styleId="aff1">
    <w:name w:val="footer"/>
    <w:basedOn w:val="a"/>
    <w:link w:val="aff2"/>
    <w:uiPriority w:val="99"/>
    <w:unhideWhenUsed/>
    <w:pPr>
      <w:tabs>
        <w:tab w:val="center" w:pos="4677"/>
        <w:tab w:val="right" w:pos="9355"/>
      </w:tabs>
      <w:spacing w:line="240" w:lineRule="auto"/>
    </w:pPr>
  </w:style>
  <w:style w:type="character" w:customStyle="1" w:styleId="aff2">
    <w:name w:val="Нижний колонтитул Знак"/>
    <w:basedOn w:val="a0"/>
    <w:link w:val="aff1"/>
    <w:uiPriority w:val="99"/>
    <w:rPr>
      <w:rFonts w:ascii="Times New Roman" w:eastAsia="Times New Roman" w:hAnsi="Times New Roman" w:cs="Times New Roman"/>
      <w:sz w:val="28"/>
      <w:szCs w:val="28"/>
      <w:lang w:eastAsia="ru-RU"/>
    </w:rPr>
  </w:style>
  <w:style w:type="character" w:customStyle="1" w:styleId="aff3">
    <w:name w:val="Сноска_"/>
    <w:basedOn w:val="a0"/>
    <w:link w:val="aff4"/>
    <w:rPr>
      <w:rFonts w:ascii="Times New Roman" w:eastAsia="Times New Roman" w:hAnsi="Times New Roman"/>
      <w:b/>
      <w:bCs/>
      <w:sz w:val="18"/>
      <w:szCs w:val="18"/>
      <w:shd w:val="clear" w:color="auto" w:fill="FFFFFF"/>
    </w:rPr>
  </w:style>
  <w:style w:type="paragraph" w:customStyle="1" w:styleId="aff4">
    <w:name w:val="Сноска"/>
    <w:basedOn w:val="a"/>
    <w:link w:val="aff3"/>
    <w:pPr>
      <w:widowControl w:val="0"/>
      <w:shd w:val="clear" w:color="auto" w:fill="FFFFFF"/>
      <w:spacing w:line="230" w:lineRule="exact"/>
      <w:ind w:firstLine="0"/>
    </w:pPr>
    <w:rPr>
      <w:rFonts w:cstheme="minorBidi"/>
      <w:b/>
      <w:bCs/>
      <w:sz w:val="18"/>
      <w:szCs w:val="18"/>
      <w:lang w:eastAsia="en-US"/>
    </w:rPr>
  </w:style>
  <w:style w:type="paragraph" w:customStyle="1" w:styleId="Default">
    <w:name w:val="Default"/>
    <w:pPr>
      <w:spacing w:after="0" w:line="240" w:lineRule="auto"/>
    </w:pPr>
    <w:rPr>
      <w:rFonts w:ascii="Times New Roman" w:eastAsia="Times New Roman" w:hAnsi="Times New Roman" w:cs="Times New Roman"/>
      <w:color w:val="000000"/>
      <w:sz w:val="24"/>
      <w:szCs w:val="24"/>
      <w:lang w:eastAsia="ru-RU"/>
    </w:rPr>
  </w:style>
  <w:style w:type="paragraph" w:styleId="aff5">
    <w:name w:val="No Spacing"/>
    <w:link w:val="aff6"/>
    <w:uiPriority w:val="1"/>
    <w:qFormat/>
    <w:pPr>
      <w:spacing w:after="0" w:line="240" w:lineRule="auto"/>
    </w:pPr>
    <w:rPr>
      <w:rFonts w:ascii="Calibri" w:eastAsia="Times New Roman" w:hAnsi="Calibri" w:cs="Calibri"/>
      <w:lang w:eastAsia="ru-RU"/>
    </w:rPr>
  </w:style>
  <w:style w:type="character" w:customStyle="1" w:styleId="FontStyle16">
    <w:name w:val="Font Style16"/>
    <w:uiPriority w:val="99"/>
    <w:rPr>
      <w:rFonts w:ascii="Times New Roman" w:hAnsi="Times New Roman" w:cs="Times New Roman"/>
      <w:sz w:val="26"/>
      <w:szCs w:val="26"/>
    </w:rPr>
  </w:style>
  <w:style w:type="paragraph" w:customStyle="1" w:styleId="ConsPlusTitle">
    <w:name w:val="ConsPlusTitle"/>
    <w:uiPriority w:val="99"/>
    <w:qFormat/>
    <w:pPr>
      <w:spacing w:after="0" w:line="240" w:lineRule="auto"/>
    </w:pPr>
    <w:rPr>
      <w:rFonts w:ascii="Times New Roman" w:eastAsia="Times New Roman" w:hAnsi="Times New Roman" w:cs="Times New Roman"/>
      <w:b/>
      <w:bCs/>
      <w:sz w:val="28"/>
      <w:szCs w:val="28"/>
    </w:rPr>
  </w:style>
  <w:style w:type="character" w:customStyle="1" w:styleId="aff6">
    <w:name w:val="Без интервала Знак"/>
    <w:basedOn w:val="a0"/>
    <w:link w:val="aff5"/>
    <w:uiPriority w:val="1"/>
    <w:rPr>
      <w:rFonts w:ascii="Calibri" w:eastAsia="Times New Roman" w:hAnsi="Calibri" w:cs="Calibri"/>
      <w:lang w:eastAsia="ru-RU"/>
    </w:rPr>
  </w:style>
  <w:style w:type="paragraph" w:styleId="aff7">
    <w:name w:val="Normal (Web)"/>
    <w:basedOn w:val="a"/>
    <w:link w:val="aff8"/>
    <w:uiPriority w:val="99"/>
    <w:pPr>
      <w:spacing w:beforeAutospacing="1" w:after="200" w:afterAutospacing="1" w:line="240" w:lineRule="auto"/>
      <w:ind w:firstLine="0"/>
      <w:jc w:val="left"/>
    </w:pPr>
    <w:rPr>
      <w:color w:val="000000"/>
      <w:sz w:val="24"/>
      <w:szCs w:val="20"/>
    </w:rPr>
  </w:style>
  <w:style w:type="character" w:customStyle="1" w:styleId="aff8">
    <w:name w:val="Обычный (веб) Знак"/>
    <w:link w:val="aff7"/>
    <w:uiPriority w:val="99"/>
    <w:rPr>
      <w:rFonts w:ascii="Times New Roman" w:eastAsia="Times New Roman" w:hAnsi="Times New Roman" w:cs="Times New Roman"/>
      <w:color w:val="000000"/>
      <w:sz w:val="24"/>
      <w:szCs w:val="20"/>
      <w:lang w:eastAsia="ru-RU"/>
    </w:rPr>
  </w:style>
  <w:style w:type="character" w:styleId="aff9">
    <w:name w:val="Hyperlink"/>
    <w:uiPriority w:val="99"/>
    <w:rPr>
      <w:rFonts w:cs="Times New Roman"/>
      <w:color w:val="0000FF"/>
      <w:u w:val="single"/>
    </w:rPr>
  </w:style>
  <w:style w:type="numbering" w:customStyle="1" w:styleId="13">
    <w:name w:val="Нет списка1"/>
    <w:next w:val="a2"/>
    <w:uiPriority w:val="99"/>
    <w:semiHidden/>
    <w:unhideWhenUsed/>
  </w:style>
  <w:style w:type="table" w:customStyle="1" w:styleId="14">
    <w:name w:val="Сетка таблицы1"/>
    <w:basedOn w:val="a1"/>
    <w:next w:val="ac"/>
    <w:uiPriority w:val="59"/>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5">
    <w:name w:val="Нет списка2"/>
    <w:next w:val="a2"/>
    <w:uiPriority w:val="99"/>
    <w:semiHidden/>
    <w:unhideWhenUsed/>
  </w:style>
  <w:style w:type="table" w:customStyle="1" w:styleId="26">
    <w:name w:val="Сетка таблицы2"/>
    <w:basedOn w:val="a1"/>
    <w:next w:val="ac"/>
    <w:uiPriority w:val="59"/>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3">
    <w:name w:val="Style3"/>
    <w:basedOn w:val="a"/>
    <w:uiPriority w:val="99"/>
    <w:pPr>
      <w:widowControl w:val="0"/>
      <w:spacing w:line="240" w:lineRule="auto"/>
      <w:ind w:firstLine="0"/>
      <w:jc w:val="left"/>
    </w:pPr>
    <w:rPr>
      <w:sz w:val="24"/>
      <w:szCs w:val="24"/>
    </w:rPr>
  </w:style>
  <w:style w:type="character" w:customStyle="1" w:styleId="27">
    <w:name w:val="Заголовок 2 Знак"/>
    <w:link w:val="21"/>
    <w:uiPriority w:val="9"/>
    <w:qFormat/>
    <w:rPr>
      <w:b/>
      <w:sz w:val="24"/>
    </w:rPr>
  </w:style>
  <w:style w:type="paragraph" w:customStyle="1" w:styleId="11">
    <w:name w:val="Заголовок 11"/>
    <w:basedOn w:val="a"/>
    <w:next w:val="a"/>
    <w:uiPriority w:val="99"/>
    <w:qFormat/>
    <w:pPr>
      <w:keepNext/>
      <w:numPr>
        <w:numId w:val="16"/>
      </w:numPr>
      <w:spacing w:line="240" w:lineRule="auto"/>
      <w:jc w:val="left"/>
      <w:outlineLvl w:val="0"/>
    </w:pPr>
    <w:rPr>
      <w:b/>
      <w:color w:val="000000"/>
      <w:sz w:val="24"/>
      <w:szCs w:val="20"/>
    </w:rPr>
  </w:style>
  <w:style w:type="paragraph" w:customStyle="1" w:styleId="21">
    <w:name w:val="Заголовок 21"/>
    <w:basedOn w:val="a"/>
    <w:next w:val="a"/>
    <w:link w:val="27"/>
    <w:uiPriority w:val="9"/>
    <w:qFormat/>
    <w:pPr>
      <w:keepNext/>
      <w:numPr>
        <w:ilvl w:val="1"/>
        <w:numId w:val="16"/>
      </w:numPr>
      <w:spacing w:line="240" w:lineRule="auto"/>
      <w:ind w:right="-375" w:firstLine="0"/>
      <w:jc w:val="center"/>
      <w:outlineLvl w:val="1"/>
    </w:pPr>
    <w:rPr>
      <w:rFonts w:asciiTheme="minorHAnsi" w:eastAsiaTheme="minorHAnsi" w:hAnsiTheme="minorHAnsi" w:cstheme="minorBidi"/>
      <w:b/>
      <w:sz w:val="24"/>
      <w:szCs w:val="22"/>
      <w:lang w:eastAsia="en-US"/>
    </w:rPr>
  </w:style>
  <w:style w:type="paragraph" w:customStyle="1" w:styleId="31">
    <w:name w:val="Заголовок 31"/>
    <w:basedOn w:val="a"/>
    <w:next w:val="a"/>
    <w:uiPriority w:val="99"/>
    <w:qFormat/>
    <w:pPr>
      <w:keepNext/>
      <w:numPr>
        <w:ilvl w:val="2"/>
        <w:numId w:val="16"/>
      </w:numPr>
      <w:spacing w:line="240" w:lineRule="auto"/>
      <w:ind w:left="-567" w:right="-375" w:firstLine="0"/>
      <w:jc w:val="center"/>
      <w:outlineLvl w:val="2"/>
    </w:pPr>
    <w:rPr>
      <w:b/>
      <w:sz w:val="24"/>
      <w:szCs w:val="20"/>
    </w:rPr>
  </w:style>
  <w:style w:type="character" w:customStyle="1" w:styleId="markedcontent">
    <w:name w:val="markedcontent"/>
    <w:basedOn w:val="a0"/>
  </w:style>
  <w:style w:type="paragraph" w:customStyle="1" w:styleId="15">
    <w:name w:val="Знак1"/>
    <w:basedOn w:val="a"/>
    <w:uiPriority w:val="99"/>
    <w:pPr>
      <w:spacing w:after="160" w:line="240" w:lineRule="exact"/>
      <w:ind w:firstLine="0"/>
      <w:jc w:val="left"/>
    </w:pPr>
    <w:rPr>
      <w:rFonts w:ascii="Verdana" w:hAnsi="Verdana"/>
      <w:sz w:val="20"/>
      <w:szCs w:val="20"/>
      <w:lang w:val="en-US" w:eastAsia="en-US"/>
    </w:rPr>
  </w:style>
  <w:style w:type="paragraph" w:styleId="affa">
    <w:name w:val="Body Text Indent"/>
    <w:basedOn w:val="a"/>
    <w:link w:val="affb"/>
    <w:uiPriority w:val="99"/>
    <w:pPr>
      <w:spacing w:after="120" w:line="240" w:lineRule="auto"/>
      <w:ind w:left="283" w:firstLine="0"/>
      <w:jc w:val="left"/>
    </w:pPr>
    <w:rPr>
      <w:rFonts w:ascii="Calibri" w:hAnsi="Calibri"/>
      <w:sz w:val="22"/>
      <w:szCs w:val="22"/>
      <w:lang w:eastAsia="en-US"/>
    </w:rPr>
  </w:style>
  <w:style w:type="character" w:customStyle="1" w:styleId="affb">
    <w:name w:val="Основной текст с отступом Знак"/>
    <w:basedOn w:val="a0"/>
    <w:link w:val="affa"/>
    <w:uiPriority w:val="99"/>
    <w:rPr>
      <w:rFonts w:ascii="Calibri" w:eastAsia="Times New Roman" w:hAnsi="Calibri" w:cs="Times New Roman"/>
    </w:rPr>
  </w:style>
  <w:style w:type="paragraph" w:customStyle="1" w:styleId="16">
    <w:name w:val="Знак Знак Знак1 Знак Знак Знак Знак"/>
    <w:basedOn w:val="a"/>
    <w:uiPriority w:val="99"/>
    <w:pPr>
      <w:spacing w:after="160" w:line="240" w:lineRule="exact"/>
      <w:ind w:firstLine="0"/>
      <w:jc w:val="left"/>
    </w:pPr>
    <w:rPr>
      <w:rFonts w:ascii="Verdana" w:hAnsi="Verdana" w:cs="Verdana"/>
      <w:sz w:val="24"/>
      <w:szCs w:val="24"/>
      <w:lang w:val="en-US" w:eastAsia="en-US"/>
    </w:rPr>
  </w:style>
  <w:style w:type="paragraph" w:customStyle="1" w:styleId="affc">
    <w:name w:val="Знак"/>
    <w:basedOn w:val="a"/>
    <w:uiPriority w:val="99"/>
    <w:pPr>
      <w:tabs>
        <w:tab w:val="num" w:pos="1287"/>
      </w:tabs>
      <w:spacing w:after="160" w:line="240" w:lineRule="exact"/>
      <w:ind w:left="1287" w:hanging="360"/>
    </w:pPr>
    <w:rPr>
      <w:rFonts w:ascii="Verdana" w:hAnsi="Verdana" w:cs="Arial"/>
      <w:sz w:val="20"/>
      <w:szCs w:val="20"/>
      <w:lang w:val="en-US" w:eastAsia="en-US"/>
    </w:rPr>
  </w:style>
  <w:style w:type="paragraph" w:customStyle="1" w:styleId="affd">
    <w:name w:val="Знак Знак Знак Знак"/>
    <w:basedOn w:val="a"/>
    <w:uiPriority w:val="99"/>
    <w:pPr>
      <w:tabs>
        <w:tab w:val="num" w:pos="1287"/>
      </w:tabs>
      <w:spacing w:after="160" w:line="240" w:lineRule="exact"/>
      <w:ind w:left="1287" w:hanging="360"/>
    </w:pPr>
    <w:rPr>
      <w:rFonts w:ascii="Verdana" w:hAnsi="Verdana" w:cs="Verdana"/>
      <w:sz w:val="20"/>
      <w:szCs w:val="20"/>
      <w:lang w:val="en-US" w:eastAsia="en-US"/>
    </w:rPr>
  </w:style>
  <w:style w:type="paragraph" w:styleId="28">
    <w:name w:val="Body Text Indent 2"/>
    <w:basedOn w:val="a"/>
    <w:link w:val="29"/>
    <w:uiPriority w:val="99"/>
    <w:pPr>
      <w:spacing w:after="120" w:line="480" w:lineRule="auto"/>
      <w:ind w:left="283" w:firstLine="0"/>
      <w:jc w:val="left"/>
    </w:pPr>
    <w:rPr>
      <w:sz w:val="24"/>
      <w:szCs w:val="24"/>
    </w:rPr>
  </w:style>
  <w:style w:type="character" w:customStyle="1" w:styleId="29">
    <w:name w:val="Основной текст с отступом 2 Знак"/>
    <w:basedOn w:val="a0"/>
    <w:link w:val="28"/>
    <w:uiPriority w:val="99"/>
    <w:rPr>
      <w:rFonts w:ascii="Times New Roman" w:eastAsia="Times New Roman" w:hAnsi="Times New Roman" w:cs="Times New Roman"/>
      <w:sz w:val="24"/>
      <w:szCs w:val="24"/>
      <w:lang w:eastAsia="ru-RU"/>
    </w:rPr>
  </w:style>
  <w:style w:type="paragraph" w:styleId="affe">
    <w:name w:val="Plain Text"/>
    <w:basedOn w:val="a"/>
    <w:link w:val="afff"/>
    <w:pPr>
      <w:spacing w:line="240" w:lineRule="auto"/>
      <w:ind w:firstLine="0"/>
      <w:jc w:val="left"/>
    </w:pPr>
    <w:rPr>
      <w:rFonts w:ascii="Courier New" w:hAnsi="Courier New" w:cs="Courier New"/>
      <w:sz w:val="20"/>
      <w:szCs w:val="20"/>
    </w:rPr>
  </w:style>
  <w:style w:type="character" w:customStyle="1" w:styleId="afff">
    <w:name w:val="Текст Знак"/>
    <w:basedOn w:val="a0"/>
    <w:link w:val="affe"/>
    <w:rPr>
      <w:rFonts w:ascii="Courier New" w:eastAsia="Times New Roman" w:hAnsi="Courier New" w:cs="Courier New"/>
      <w:sz w:val="20"/>
      <w:szCs w:val="20"/>
      <w:lang w:eastAsia="ru-RU"/>
    </w:rPr>
  </w:style>
  <w:style w:type="character" w:customStyle="1" w:styleId="white">
    <w:name w:val="white"/>
    <w:basedOn w:val="a0"/>
    <w:uiPriority w:val="99"/>
    <w:rPr>
      <w:rFonts w:cs="Times New Roman"/>
    </w:rPr>
  </w:style>
  <w:style w:type="paragraph" w:customStyle="1" w:styleId="afff0">
    <w:name w:val="Знак Знак Знак Знак Знак Знак Знак"/>
    <w:basedOn w:val="a"/>
    <w:uiPriority w:val="99"/>
    <w:pPr>
      <w:spacing w:after="160" w:line="240" w:lineRule="exact"/>
      <w:ind w:firstLine="0"/>
      <w:jc w:val="left"/>
    </w:pPr>
    <w:rPr>
      <w:rFonts w:ascii="Verdana" w:hAnsi="Verdana"/>
      <w:sz w:val="20"/>
      <w:szCs w:val="20"/>
      <w:lang w:val="en-US" w:eastAsia="en-US"/>
    </w:rPr>
  </w:style>
  <w:style w:type="paragraph" w:styleId="HTML0">
    <w:name w:val="HTML Preformatted"/>
    <w:basedOn w:val="a"/>
    <w:link w:val="HTML1"/>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hAnsi="Courier New"/>
      <w:sz w:val="20"/>
      <w:szCs w:val="20"/>
    </w:rPr>
  </w:style>
  <w:style w:type="character" w:customStyle="1" w:styleId="HTML1">
    <w:name w:val="Стандартный HTML Знак"/>
    <w:basedOn w:val="a0"/>
    <w:link w:val="HTML0"/>
    <w:uiPriority w:val="99"/>
    <w:rPr>
      <w:rFonts w:ascii="Courier New" w:eastAsia="Times New Roman" w:hAnsi="Courier New" w:cs="Times New Roman"/>
      <w:sz w:val="20"/>
      <w:szCs w:val="20"/>
      <w:lang w:eastAsia="ru-RU"/>
    </w:rPr>
  </w:style>
  <w:style w:type="character" w:customStyle="1" w:styleId="HTMLPreformattedChar">
    <w:name w:val="HTML Preformatted Char"/>
    <w:basedOn w:val="a0"/>
    <w:uiPriority w:val="99"/>
    <w:rPr>
      <w:rFonts w:ascii="Courier New" w:hAnsi="Courier New" w:cs="Times New Roman"/>
      <w:color w:val="000000"/>
      <w:lang w:val="ru-RU" w:eastAsia="ru-RU"/>
    </w:rPr>
  </w:style>
  <w:style w:type="character" w:customStyle="1" w:styleId="HeaderChar">
    <w:name w:val="Header Char"/>
    <w:basedOn w:val="a0"/>
    <w:uiPriority w:val="99"/>
    <w:semiHidden/>
    <w:rPr>
      <w:rFonts w:cs="Times New Roman"/>
      <w:sz w:val="20"/>
      <w:szCs w:val="20"/>
    </w:rPr>
  </w:style>
  <w:style w:type="paragraph" w:customStyle="1" w:styleId="211">
    <w:name w:val="Знак 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pPr>
      <w:tabs>
        <w:tab w:val="num" w:pos="1287"/>
      </w:tabs>
      <w:spacing w:after="160" w:line="240" w:lineRule="exact"/>
      <w:ind w:left="1287" w:hanging="360"/>
    </w:pPr>
    <w:rPr>
      <w:rFonts w:ascii="Verdana" w:hAnsi="Verdana" w:cs="Arial"/>
      <w:sz w:val="20"/>
      <w:szCs w:val="20"/>
      <w:lang w:val="en-US" w:eastAsia="en-US"/>
    </w:rPr>
  </w:style>
  <w:style w:type="paragraph" w:customStyle="1" w:styleId="NoSpacing1">
    <w:name w:val="No Spacing1"/>
    <w:link w:val="NoSpacingChar"/>
    <w:uiPriority w:val="99"/>
    <w:pPr>
      <w:spacing w:after="0" w:line="240" w:lineRule="auto"/>
    </w:pPr>
    <w:rPr>
      <w:rFonts w:ascii="Calibri" w:eastAsia="Times New Roman" w:hAnsi="Calibri" w:cs="Times New Roman"/>
    </w:rPr>
  </w:style>
  <w:style w:type="paragraph" w:styleId="33">
    <w:name w:val="Body Text Indent 3"/>
    <w:basedOn w:val="a"/>
    <w:link w:val="34"/>
    <w:uiPriority w:val="99"/>
    <w:pPr>
      <w:widowControl w:val="0"/>
      <w:spacing w:after="120" w:line="240" w:lineRule="auto"/>
      <w:ind w:left="283" w:firstLine="0"/>
      <w:jc w:val="left"/>
    </w:pPr>
    <w:rPr>
      <w:sz w:val="16"/>
      <w:szCs w:val="16"/>
    </w:rPr>
  </w:style>
  <w:style w:type="character" w:customStyle="1" w:styleId="34">
    <w:name w:val="Основной текст с отступом 3 Знак"/>
    <w:basedOn w:val="a0"/>
    <w:link w:val="33"/>
    <w:uiPriority w:val="99"/>
    <w:rPr>
      <w:rFonts w:ascii="Times New Roman" w:eastAsia="Times New Roman" w:hAnsi="Times New Roman" w:cs="Times New Roman"/>
      <w:sz w:val="16"/>
      <w:szCs w:val="16"/>
      <w:lang w:eastAsia="ru-RU"/>
    </w:rPr>
  </w:style>
  <w:style w:type="paragraph" w:customStyle="1" w:styleId="17">
    <w:name w:val="1"/>
    <w:basedOn w:val="a"/>
    <w:uiPriority w:val="99"/>
    <w:pPr>
      <w:tabs>
        <w:tab w:val="num" w:pos="1287"/>
      </w:tabs>
      <w:spacing w:after="160" w:line="240" w:lineRule="exact"/>
      <w:ind w:left="1287" w:hanging="360"/>
    </w:pPr>
    <w:rPr>
      <w:rFonts w:ascii="Verdana" w:hAnsi="Verdana" w:cs="Arial"/>
      <w:sz w:val="20"/>
      <w:szCs w:val="20"/>
      <w:lang w:val="en-US" w:eastAsia="en-US"/>
    </w:rPr>
  </w:style>
  <w:style w:type="paragraph" w:customStyle="1" w:styleId="35">
    <w:name w:val="Знак3"/>
    <w:basedOn w:val="a"/>
    <w:uiPriority w:val="99"/>
    <w:pPr>
      <w:tabs>
        <w:tab w:val="num" w:pos="1287"/>
      </w:tabs>
      <w:spacing w:after="160" w:line="240" w:lineRule="exact"/>
      <w:ind w:left="1287" w:hanging="360"/>
    </w:pPr>
    <w:rPr>
      <w:rFonts w:ascii="Verdana" w:hAnsi="Verdana" w:cs="Arial"/>
      <w:sz w:val="20"/>
      <w:szCs w:val="20"/>
      <w:lang w:val="en-US" w:eastAsia="en-US"/>
    </w:rPr>
  </w:style>
  <w:style w:type="paragraph" w:customStyle="1" w:styleId="42">
    <w:name w:val="Знак Знак4 Знак Знак"/>
    <w:basedOn w:val="a"/>
    <w:uiPriority w:val="99"/>
    <w:pPr>
      <w:spacing w:after="160" w:line="240" w:lineRule="exact"/>
      <w:ind w:firstLine="0"/>
      <w:jc w:val="left"/>
    </w:pPr>
    <w:rPr>
      <w:rFonts w:ascii="Verdana" w:hAnsi="Verdana"/>
      <w:sz w:val="20"/>
      <w:szCs w:val="20"/>
      <w:lang w:val="en-US" w:eastAsia="en-US"/>
    </w:rPr>
  </w:style>
  <w:style w:type="character" w:customStyle="1" w:styleId="18">
    <w:name w:val="Верхний колонтитул Знак1"/>
    <w:rPr>
      <w:lang w:val="ru-RU" w:eastAsia="ru-RU"/>
    </w:rPr>
  </w:style>
  <w:style w:type="paragraph" w:customStyle="1" w:styleId="ConsNonformat">
    <w:name w:val="ConsNonformat"/>
    <w:link w:val="ConsNonformat0"/>
    <w:uiPriority w:val="99"/>
    <w:pPr>
      <w:widowControl w:val="0"/>
      <w:spacing w:after="0" w:line="240" w:lineRule="auto"/>
    </w:pPr>
    <w:rPr>
      <w:rFonts w:ascii="Courier New" w:eastAsia="Times New Roman" w:hAnsi="Courier New" w:cs="Times New Roman"/>
      <w:lang w:eastAsia="ru-RU"/>
    </w:rPr>
  </w:style>
  <w:style w:type="character" w:customStyle="1" w:styleId="ConsNonformat0">
    <w:name w:val="ConsNonformat Знак"/>
    <w:link w:val="ConsNonformat"/>
    <w:uiPriority w:val="99"/>
    <w:rPr>
      <w:rFonts w:ascii="Courier New" w:eastAsia="Times New Roman" w:hAnsi="Courier New" w:cs="Times New Roman"/>
      <w:lang w:eastAsia="ru-RU"/>
    </w:rPr>
  </w:style>
  <w:style w:type="paragraph" w:customStyle="1" w:styleId="19">
    <w:name w:val="Знак Знак Знак Знак1"/>
    <w:basedOn w:val="a"/>
    <w:uiPriority w:val="99"/>
    <w:pPr>
      <w:tabs>
        <w:tab w:val="num" w:pos="1287"/>
      </w:tabs>
      <w:spacing w:after="160" w:line="240" w:lineRule="exact"/>
      <w:ind w:left="1287" w:hanging="360"/>
    </w:pPr>
    <w:rPr>
      <w:rFonts w:ascii="Verdana" w:hAnsi="Verdana" w:cs="Arial"/>
      <w:sz w:val="20"/>
      <w:szCs w:val="20"/>
      <w:lang w:val="en-US" w:eastAsia="en-US"/>
    </w:rPr>
  </w:style>
  <w:style w:type="paragraph" w:styleId="36">
    <w:name w:val="Body Text 3"/>
    <w:basedOn w:val="a"/>
    <w:link w:val="37"/>
    <w:uiPriority w:val="99"/>
    <w:pPr>
      <w:spacing w:after="120" w:line="240" w:lineRule="auto"/>
      <w:ind w:firstLine="0"/>
      <w:jc w:val="left"/>
    </w:pPr>
    <w:rPr>
      <w:sz w:val="16"/>
      <w:szCs w:val="16"/>
    </w:rPr>
  </w:style>
  <w:style w:type="character" w:customStyle="1" w:styleId="37">
    <w:name w:val="Основной текст 3 Знак"/>
    <w:basedOn w:val="a0"/>
    <w:link w:val="36"/>
    <w:uiPriority w:val="99"/>
    <w:rPr>
      <w:rFonts w:ascii="Times New Roman" w:eastAsia="Times New Roman" w:hAnsi="Times New Roman" w:cs="Times New Roman"/>
      <w:sz w:val="16"/>
      <w:szCs w:val="16"/>
      <w:lang w:eastAsia="ru-RU"/>
    </w:rPr>
  </w:style>
  <w:style w:type="character" w:customStyle="1" w:styleId="FontStyle12">
    <w:name w:val="Font Style12"/>
    <w:uiPriority w:val="99"/>
    <w:rPr>
      <w:rFonts w:ascii="Times New Roman" w:hAnsi="Times New Roman"/>
      <w:sz w:val="26"/>
    </w:rPr>
  </w:style>
  <w:style w:type="character" w:customStyle="1" w:styleId="1a">
    <w:name w:val="Верхний колонтитул Знак Знак Знак1"/>
    <w:rPr>
      <w:rFonts w:ascii="Courier New" w:hAnsi="Courier New"/>
      <w:sz w:val="24"/>
      <w:lang w:val="ru-RU" w:eastAsia="ru-RU"/>
    </w:rPr>
  </w:style>
  <w:style w:type="character" w:customStyle="1" w:styleId="1b">
    <w:name w:val="Основной текст1"/>
    <w:uiPriority w:val="99"/>
    <w:rPr>
      <w:color w:val="000000"/>
      <w:spacing w:val="0"/>
      <w:position w:val="0"/>
      <w:sz w:val="23"/>
      <w:shd w:val="clear" w:color="auto" w:fill="FFFFFF"/>
      <w:lang w:val="ru-RU"/>
    </w:rPr>
  </w:style>
  <w:style w:type="paragraph" w:customStyle="1" w:styleId="43">
    <w:name w:val="Основной текст4"/>
    <w:basedOn w:val="a"/>
    <w:uiPriority w:val="99"/>
    <w:pPr>
      <w:widowControl w:val="0"/>
      <w:shd w:val="clear" w:color="auto" w:fill="FFFFFF"/>
      <w:spacing w:before="1800" w:after="360" w:line="240" w:lineRule="atLeast"/>
      <w:ind w:firstLine="0"/>
      <w:jc w:val="center"/>
    </w:pPr>
    <w:rPr>
      <w:sz w:val="23"/>
      <w:szCs w:val="20"/>
      <w:shd w:val="clear" w:color="auto" w:fill="FFFFFF"/>
    </w:rPr>
  </w:style>
  <w:style w:type="paragraph" w:styleId="2a">
    <w:name w:val="Body Text 2"/>
    <w:basedOn w:val="a"/>
    <w:link w:val="2b"/>
    <w:uiPriority w:val="99"/>
    <w:pPr>
      <w:spacing w:after="120" w:line="480" w:lineRule="auto"/>
      <w:ind w:firstLine="0"/>
      <w:jc w:val="left"/>
    </w:pPr>
    <w:rPr>
      <w:sz w:val="24"/>
      <w:szCs w:val="20"/>
    </w:rPr>
  </w:style>
  <w:style w:type="character" w:customStyle="1" w:styleId="2b">
    <w:name w:val="Основной текст 2 Знак"/>
    <w:basedOn w:val="a0"/>
    <w:link w:val="2a"/>
    <w:uiPriority w:val="99"/>
    <w:rPr>
      <w:rFonts w:ascii="Times New Roman" w:eastAsia="Times New Roman" w:hAnsi="Times New Roman" w:cs="Times New Roman"/>
      <w:sz w:val="24"/>
      <w:szCs w:val="20"/>
      <w:lang w:eastAsia="ru-RU"/>
    </w:rPr>
  </w:style>
  <w:style w:type="paragraph" w:styleId="afff1">
    <w:name w:val="Block Text"/>
    <w:basedOn w:val="a"/>
    <w:pPr>
      <w:spacing w:line="240" w:lineRule="auto"/>
      <w:ind w:left="-540" w:right="5395" w:firstLine="540"/>
    </w:pPr>
    <w:rPr>
      <w:sz w:val="24"/>
      <w:szCs w:val="24"/>
    </w:rPr>
  </w:style>
  <w:style w:type="paragraph" w:customStyle="1" w:styleId="1c">
    <w:name w:val="Знак1 Знак Знак Знак"/>
    <w:basedOn w:val="a"/>
    <w:uiPriority w:val="99"/>
    <w:pPr>
      <w:spacing w:before="100" w:beforeAutospacing="1" w:after="100" w:afterAutospacing="1" w:line="240" w:lineRule="auto"/>
      <w:ind w:firstLine="0"/>
      <w:jc w:val="left"/>
    </w:pPr>
    <w:rPr>
      <w:rFonts w:ascii="Tahoma" w:hAnsi="Tahoma" w:cs="Tahoma"/>
      <w:sz w:val="20"/>
      <w:szCs w:val="20"/>
      <w:lang w:val="en-US" w:eastAsia="en-US"/>
    </w:rPr>
  </w:style>
  <w:style w:type="character" w:customStyle="1" w:styleId="NoSpacingChar">
    <w:name w:val="No Spacing Char"/>
    <w:link w:val="NoSpacing1"/>
    <w:uiPriority w:val="99"/>
    <w:rPr>
      <w:rFonts w:ascii="Calibri" w:eastAsia="Times New Roman" w:hAnsi="Calibri" w:cs="Times New Roman"/>
    </w:rPr>
  </w:style>
  <w:style w:type="character" w:customStyle="1" w:styleId="110">
    <w:name w:val="Верхний колонтитул Знак1 Знак Знак1"/>
    <w:uiPriority w:val="99"/>
    <w:rPr>
      <w:sz w:val="22"/>
      <w:lang w:eastAsia="en-US"/>
    </w:rPr>
  </w:style>
  <w:style w:type="character" w:customStyle="1" w:styleId="2c">
    <w:name w:val="Знак Знак2"/>
    <w:uiPriority w:val="99"/>
    <w:rPr>
      <w:sz w:val="24"/>
    </w:rPr>
  </w:style>
  <w:style w:type="character" w:customStyle="1" w:styleId="1d">
    <w:name w:val="Знак Знак1 Знак"/>
    <w:basedOn w:val="a0"/>
    <w:rPr>
      <w:rFonts w:ascii="Times New Roman" w:eastAsia="Times New Roman" w:hAnsi="Times New Roman" w:cs="Times New Roman"/>
      <w:sz w:val="24"/>
      <w:szCs w:val="20"/>
      <w:lang w:eastAsia="ru-RU"/>
    </w:rPr>
  </w:style>
  <w:style w:type="paragraph" w:customStyle="1" w:styleId="130">
    <w:name w:val="Обычный + 13 пт"/>
    <w:basedOn w:val="a"/>
    <w:pPr>
      <w:spacing w:line="240" w:lineRule="auto"/>
      <w:ind w:firstLine="708"/>
    </w:pPr>
    <w:rPr>
      <w:sz w:val="26"/>
      <w:szCs w:val="26"/>
    </w:rPr>
  </w:style>
  <w:style w:type="character" w:customStyle="1" w:styleId="52">
    <w:name w:val="Основной текст (5)_"/>
    <w:basedOn w:val="a0"/>
    <w:link w:val="53"/>
    <w:rPr>
      <w:b/>
      <w:bCs/>
      <w:sz w:val="28"/>
      <w:szCs w:val="28"/>
      <w:shd w:val="clear" w:color="auto" w:fill="FFFFFF"/>
    </w:rPr>
  </w:style>
  <w:style w:type="paragraph" w:customStyle="1" w:styleId="53">
    <w:name w:val="Основной текст (5)"/>
    <w:basedOn w:val="a"/>
    <w:link w:val="52"/>
    <w:pPr>
      <w:widowControl w:val="0"/>
      <w:shd w:val="clear" w:color="auto" w:fill="FFFFFF"/>
      <w:spacing w:line="322" w:lineRule="exact"/>
      <w:ind w:firstLine="0"/>
    </w:pPr>
    <w:rPr>
      <w:rFonts w:asciiTheme="minorHAnsi" w:eastAsiaTheme="minorHAnsi" w:hAnsiTheme="minorHAnsi" w:cstheme="minorBidi"/>
      <w:b/>
      <w:bCs/>
      <w:lang w:eastAsia="en-US"/>
    </w:rPr>
  </w:style>
  <w:style w:type="character" w:customStyle="1" w:styleId="44">
    <w:name w:val="Основной текст (4)_"/>
    <w:basedOn w:val="a0"/>
    <w:link w:val="45"/>
    <w:rPr>
      <w:b/>
      <w:bCs/>
      <w:shd w:val="clear" w:color="auto" w:fill="FFFFFF"/>
    </w:rPr>
  </w:style>
  <w:style w:type="paragraph" w:customStyle="1" w:styleId="45">
    <w:name w:val="Основной текст (4)"/>
    <w:basedOn w:val="a"/>
    <w:link w:val="44"/>
    <w:pPr>
      <w:widowControl w:val="0"/>
      <w:shd w:val="clear" w:color="auto" w:fill="FFFFFF"/>
      <w:spacing w:line="269" w:lineRule="exact"/>
      <w:ind w:firstLine="0"/>
      <w:jc w:val="left"/>
    </w:pPr>
    <w:rPr>
      <w:rFonts w:asciiTheme="minorHAnsi" w:eastAsiaTheme="minorHAnsi" w:hAnsiTheme="minorHAnsi" w:cstheme="minorBidi"/>
      <w:b/>
      <w:bCs/>
      <w:sz w:val="22"/>
      <w:szCs w:val="22"/>
      <w:lang w:eastAsia="en-US"/>
    </w:rPr>
  </w:style>
  <w:style w:type="character" w:customStyle="1" w:styleId="2d">
    <w:name w:val="Основной текст (2)_"/>
    <w:basedOn w:val="a0"/>
    <w:link w:val="2e"/>
    <w:rPr>
      <w:sz w:val="26"/>
      <w:szCs w:val="26"/>
      <w:shd w:val="clear" w:color="auto" w:fill="FFFFFF"/>
    </w:rPr>
  </w:style>
  <w:style w:type="paragraph" w:customStyle="1" w:styleId="2e">
    <w:name w:val="Основной текст (2)"/>
    <w:basedOn w:val="a"/>
    <w:link w:val="2d"/>
    <w:pPr>
      <w:widowControl w:val="0"/>
      <w:shd w:val="clear" w:color="auto" w:fill="FFFFFF"/>
      <w:spacing w:line="322" w:lineRule="exact"/>
      <w:ind w:firstLine="0"/>
      <w:jc w:val="left"/>
    </w:pPr>
    <w:rPr>
      <w:rFonts w:asciiTheme="minorHAnsi" w:eastAsiaTheme="minorHAnsi" w:hAnsiTheme="minorHAnsi" w:cstheme="minorBidi"/>
      <w:sz w:val="26"/>
      <w:szCs w:val="26"/>
      <w:lang w:eastAsia="en-US"/>
    </w:rPr>
  </w:style>
  <w:style w:type="paragraph" w:customStyle="1" w:styleId="afff2">
    <w:name w:val="_Базовый"/>
    <w:basedOn w:val="a"/>
    <w:pPr>
      <w:tabs>
        <w:tab w:val="left" w:pos="736"/>
        <w:tab w:val="left" w:pos="914"/>
      </w:tabs>
      <w:spacing w:line="240" w:lineRule="auto"/>
      <w:ind w:firstLine="850"/>
    </w:pPr>
    <w:rPr>
      <w:rFonts w:eastAsia="Arial" w:cs="Arial"/>
      <w:lang w:eastAsia="zh-CN" w:bidi="hi-IN"/>
    </w:rPr>
  </w:style>
  <w:style w:type="paragraph" w:customStyle="1" w:styleId="ConsPlusNonformat">
    <w:name w:val="ConsPlusNonformat"/>
    <w:pPr>
      <w:spacing w:after="0" w:line="240" w:lineRule="auto"/>
    </w:pPr>
    <w:rPr>
      <w:rFonts w:ascii="Courier New" w:eastAsia="Times New Roman" w:hAnsi="Courier New" w:cs="Courier New"/>
      <w:sz w:val="20"/>
      <w:szCs w:val="20"/>
      <w:lang w:eastAsia="ru-RU"/>
    </w:rPr>
  </w:style>
  <w:style w:type="character" w:customStyle="1" w:styleId="1e">
    <w:name w:val="Выделение1"/>
    <w:uiPriority w:val="20"/>
    <w:qFormat/>
    <w:rPr>
      <w:i/>
      <w:iCs/>
    </w:rPr>
  </w:style>
  <w:style w:type="character" w:customStyle="1" w:styleId="40">
    <w:name w:val="Заголовок 4 Знак"/>
    <w:basedOn w:val="a0"/>
    <w:link w:val="4"/>
    <w:uiPriority w:val="9"/>
    <w:rPr>
      <w:rFonts w:asciiTheme="majorHAnsi" w:eastAsiaTheme="majorEastAsia" w:hAnsiTheme="majorHAnsi" w:cstheme="majorBidi"/>
      <w:b/>
      <w:bCs/>
      <w:i/>
      <w:iCs/>
      <w:color w:val="5B9BD5" w:themeColor="accent1"/>
      <w:sz w:val="28"/>
      <w:szCs w:val="28"/>
      <w:lang w:eastAsia="ru-RU"/>
    </w:rPr>
  </w:style>
  <w:style w:type="paragraph" w:customStyle="1" w:styleId="afff3">
    <w:name w:val="Информация об изменениях"/>
    <w:basedOn w:val="a"/>
    <w:next w:val="a"/>
    <w:uiPriority w:val="99"/>
    <w:pPr>
      <w:spacing w:before="180" w:line="240" w:lineRule="auto"/>
      <w:ind w:left="360" w:right="360" w:firstLine="0"/>
    </w:pPr>
    <w:rPr>
      <w:rFonts w:ascii="Arial" w:hAnsi="Arial" w:cs="Arial"/>
      <w:color w:val="353842"/>
      <w:sz w:val="18"/>
      <w:szCs w:val="18"/>
      <w:shd w:val="clear" w:color="auto" w:fill="EAEFE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26" Type="http://schemas.openxmlformats.org/officeDocument/2006/relationships/image" Target="media/image40.png"/><Relationship Id="rId39" Type="http://schemas.openxmlformats.org/officeDocument/2006/relationships/image" Target="media/image11.png"/><Relationship Id="rId21" Type="http://schemas.openxmlformats.org/officeDocument/2006/relationships/image" Target="media/image2.png"/><Relationship Id="rId34" Type="http://schemas.openxmlformats.org/officeDocument/2006/relationships/image" Target="media/image80.png"/><Relationship Id="rId42" Type="http://schemas.openxmlformats.org/officeDocument/2006/relationships/image" Target="media/image120.png"/><Relationship Id="rId47" Type="http://schemas.openxmlformats.org/officeDocument/2006/relationships/image" Target="media/image15.png"/><Relationship Id="rId50" Type="http://schemas.openxmlformats.org/officeDocument/2006/relationships/hyperlink" Target="https://xn----9sbkcac6brh7h.xn--p1ai/34935/" TargetMode="External"/><Relationship Id="rId55" Type="http://schemas.openxmlformats.org/officeDocument/2006/relationships/hyperlink" Target="https://vk.com/wall-65718690_8026" TargetMode="External"/><Relationship Id="rId63" Type="http://schemas.openxmlformats.org/officeDocument/2006/relationships/image" Target="media/image19.jpg"/><Relationship Id="rId68" Type="http://schemas.openxmlformats.org/officeDocument/2006/relationships/image" Target="media/image210.jpg"/><Relationship Id="rId76" Type="http://schemas.openxmlformats.org/officeDocument/2006/relationships/image" Target="media/image250.jpg"/><Relationship Id="rId7" Type="http://schemas.openxmlformats.org/officeDocument/2006/relationships/footnotes" Target="footnotes.xml"/><Relationship Id="rId71" Type="http://schemas.openxmlformats.org/officeDocument/2006/relationships/image" Target="media/image23.jpg"/><Relationship Id="rId2" Type="http://schemas.openxmlformats.org/officeDocument/2006/relationships/numbering" Target="numbering.xml"/><Relationship Id="rId29" Type="http://schemas.openxmlformats.org/officeDocument/2006/relationships/image" Target="media/image6.png"/><Relationship Id="rId11" Type="http://schemas.openxmlformats.org/officeDocument/2006/relationships/header" Target="header2.xml"/><Relationship Id="rId24" Type="http://schemas.openxmlformats.org/officeDocument/2006/relationships/image" Target="media/image30.png"/><Relationship Id="rId32" Type="http://schemas.openxmlformats.org/officeDocument/2006/relationships/image" Target="media/image70.png"/><Relationship Id="rId37" Type="http://schemas.openxmlformats.org/officeDocument/2006/relationships/image" Target="media/image10.png"/><Relationship Id="rId40" Type="http://schemas.openxmlformats.org/officeDocument/2006/relationships/image" Target="media/image110.png"/><Relationship Id="rId45" Type="http://schemas.openxmlformats.org/officeDocument/2006/relationships/image" Target="media/image14.png"/><Relationship Id="rId53" Type="http://schemas.openxmlformats.org/officeDocument/2006/relationships/header" Target="header4.xml"/><Relationship Id="rId58" Type="http://schemas.openxmlformats.org/officeDocument/2006/relationships/image" Target="media/image160.png"/><Relationship Id="rId66" Type="http://schemas.openxmlformats.org/officeDocument/2006/relationships/image" Target="media/image200.jpg"/><Relationship Id="rId74" Type="http://schemas.openxmlformats.org/officeDocument/2006/relationships/image" Target="media/image240.jpg"/><Relationship Id="rId79" Type="http://schemas.openxmlformats.org/officeDocument/2006/relationships/footer" Target="footer4.xml"/><Relationship Id="rId5" Type="http://schemas.openxmlformats.org/officeDocument/2006/relationships/settings" Target="settings.xml"/><Relationship Id="rId23" Type="http://schemas.openxmlformats.org/officeDocument/2006/relationships/image" Target="media/image3.png"/><Relationship Id="rId28" Type="http://schemas.openxmlformats.org/officeDocument/2006/relationships/image" Target="media/image50.png"/><Relationship Id="rId36" Type="http://schemas.openxmlformats.org/officeDocument/2006/relationships/image" Target="media/image90.png"/><Relationship Id="rId49" Type="http://schemas.openxmlformats.org/officeDocument/2006/relationships/hyperlink" Target="garantF1://12007402.53044" TargetMode="External"/><Relationship Id="rId57" Type="http://schemas.openxmlformats.org/officeDocument/2006/relationships/image" Target="media/image16.png"/><Relationship Id="rId61" Type="http://schemas.openxmlformats.org/officeDocument/2006/relationships/image" Target="media/image18.jpg"/><Relationship Id="rId10" Type="http://schemas.openxmlformats.org/officeDocument/2006/relationships/header" Target="header1.xml"/><Relationship Id="rId31" Type="http://schemas.openxmlformats.org/officeDocument/2006/relationships/image" Target="media/image7.png"/><Relationship Id="rId44" Type="http://schemas.openxmlformats.org/officeDocument/2006/relationships/image" Target="media/image130.png"/><Relationship Id="rId52" Type="http://schemas.openxmlformats.org/officeDocument/2006/relationships/header" Target="header3.xml"/><Relationship Id="rId60" Type="http://schemas.openxmlformats.org/officeDocument/2006/relationships/image" Target="media/image170.jpg"/><Relationship Id="rId65" Type="http://schemas.openxmlformats.org/officeDocument/2006/relationships/image" Target="media/image20.jpg"/><Relationship Id="rId73" Type="http://schemas.openxmlformats.org/officeDocument/2006/relationships/image" Target="media/image24.jpg"/><Relationship Id="rId78" Type="http://schemas.openxmlformats.org/officeDocument/2006/relationships/header" Target="header6.xml"/><Relationship Id="rId8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oter" Target="footer1.xml"/><Relationship Id="rId22" Type="http://schemas.openxmlformats.org/officeDocument/2006/relationships/image" Target="media/image20.png"/><Relationship Id="rId27" Type="http://schemas.openxmlformats.org/officeDocument/2006/relationships/image" Target="media/image5.png"/><Relationship Id="rId30" Type="http://schemas.openxmlformats.org/officeDocument/2006/relationships/image" Target="media/image60.png"/><Relationship Id="rId35" Type="http://schemas.openxmlformats.org/officeDocument/2006/relationships/image" Target="media/image9.png"/><Relationship Id="rId43" Type="http://schemas.openxmlformats.org/officeDocument/2006/relationships/image" Target="media/image13.png"/><Relationship Id="rId48" Type="http://schemas.openxmlformats.org/officeDocument/2006/relationships/image" Target="media/image150.png"/><Relationship Id="rId56" Type="http://schemas.openxmlformats.org/officeDocument/2006/relationships/hyperlink" Target="https://vk.com/wall-192914079_844" TargetMode="External"/><Relationship Id="rId64" Type="http://schemas.openxmlformats.org/officeDocument/2006/relationships/image" Target="media/image190.jpg"/><Relationship Id="rId69" Type="http://schemas.openxmlformats.org/officeDocument/2006/relationships/image" Target="media/image22.jpg"/><Relationship Id="rId77" Type="http://schemas.openxmlformats.org/officeDocument/2006/relationships/header" Target="header5.xml"/><Relationship Id="rId8" Type="http://schemas.openxmlformats.org/officeDocument/2006/relationships/endnotes" Target="endnotes.xml"/><Relationship Id="rId51" Type="http://schemas.openxmlformats.org/officeDocument/2006/relationships/hyperlink" Target="https://xn----9sbkcac6brh7h.xn--p1ai/34937/" TargetMode="External"/><Relationship Id="rId72" Type="http://schemas.openxmlformats.org/officeDocument/2006/relationships/image" Target="media/image230.jpg"/><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25" Type="http://schemas.openxmlformats.org/officeDocument/2006/relationships/image" Target="media/image4.png"/><Relationship Id="rId33" Type="http://schemas.openxmlformats.org/officeDocument/2006/relationships/image" Target="media/image8.png"/><Relationship Id="rId38" Type="http://schemas.openxmlformats.org/officeDocument/2006/relationships/image" Target="media/image100.png"/><Relationship Id="rId46" Type="http://schemas.openxmlformats.org/officeDocument/2006/relationships/image" Target="media/image140.png"/><Relationship Id="rId59" Type="http://schemas.openxmlformats.org/officeDocument/2006/relationships/image" Target="media/image17.jpg"/><Relationship Id="rId67" Type="http://schemas.openxmlformats.org/officeDocument/2006/relationships/image" Target="media/image21.jpg"/><Relationship Id="rId20" Type="http://schemas.openxmlformats.org/officeDocument/2006/relationships/image" Target="media/image17.png"/><Relationship Id="rId41" Type="http://schemas.openxmlformats.org/officeDocument/2006/relationships/image" Target="media/image12.png"/><Relationship Id="rId54" Type="http://schemas.openxmlformats.org/officeDocument/2006/relationships/footer" Target="footer3.xml"/><Relationship Id="rId62" Type="http://schemas.openxmlformats.org/officeDocument/2006/relationships/image" Target="media/image180.jpg"/><Relationship Id="rId70" Type="http://schemas.openxmlformats.org/officeDocument/2006/relationships/image" Target="media/image220.jpg"/><Relationship Id="rId75" Type="http://schemas.openxmlformats.org/officeDocument/2006/relationships/image" Target="media/image25.jpg"/><Relationship Id="rId1" Type="http://schemas.openxmlformats.org/officeDocument/2006/relationships/customXml" Target="../customXml/item1.xml"/><Relationship Id="rId6"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72.rosstat.gov.ru/news/document/253227" TargetMode="External"/><Relationship Id="rId3" Type="http://schemas.openxmlformats.org/officeDocument/2006/relationships/hyperlink" Target="https://72.rosstat.gov.ru/news/document/248616" TargetMode="External"/><Relationship Id="rId7" Type="http://schemas.openxmlformats.org/officeDocument/2006/relationships/hyperlink" Target="https://72.rosstat.gov.ru/news/document/253227" TargetMode="External"/><Relationship Id="rId2" Type="http://schemas.openxmlformats.org/officeDocument/2006/relationships/hyperlink" Target="https://72.rosstat.gov.ru/ofs_demp_hmao" TargetMode="External"/><Relationship Id="rId1" Type="http://schemas.openxmlformats.org/officeDocument/2006/relationships/hyperlink" Target="https://rosstat.gov.ru/compendium/document/13284" TargetMode="External"/><Relationship Id="rId6" Type="http://schemas.openxmlformats.org/officeDocument/2006/relationships/hyperlink" Target="https://72.rosstat.gov.ru/news/document/248616" TargetMode="External"/><Relationship Id="rId11" Type="http://schemas.openxmlformats.org/officeDocument/2006/relationships/hyperlink" Target="https://72.rosstat.gov.ru/news/document/248616" TargetMode="External"/><Relationship Id="rId5" Type="http://schemas.openxmlformats.org/officeDocument/2006/relationships/hyperlink" Target="https://72.rosstat.gov.ru/news/document/248616" TargetMode="External"/><Relationship Id="rId10" Type="http://schemas.openxmlformats.org/officeDocument/2006/relationships/hyperlink" Target="https://72.rosstat.gov.ru/news/document/248616" TargetMode="External"/><Relationship Id="rId4" Type="http://schemas.openxmlformats.org/officeDocument/2006/relationships/hyperlink" Target="https://72.rosstat.gov.ru/news/document/253227" TargetMode="External"/><Relationship Id="rId9" Type="http://schemas.openxmlformats.org/officeDocument/2006/relationships/hyperlink" Target="https://72.rosstat.gov.ru/news/document/25322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932300-5672-439A-BAAE-967BBE861D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26</Pages>
  <Words>47714</Words>
  <Characters>271973</Characters>
  <Application>Microsoft Office Word</Application>
  <DocSecurity>0</DocSecurity>
  <Lines>2266</Lines>
  <Paragraphs>638</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319049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new_2020</dc:creator>
  <cp:lastModifiedBy>Ерина Ксения Александровна</cp:lastModifiedBy>
  <cp:revision>2</cp:revision>
  <dcterms:created xsi:type="dcterms:W3CDTF">2025-04-17T10:41:00Z</dcterms:created>
  <dcterms:modified xsi:type="dcterms:W3CDTF">2025-04-17T10:41:00Z</dcterms:modified>
</cp:coreProperties>
</file>