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92F" w:rsidRDefault="0040292F">
      <w:pPr>
        <w:spacing w:before="17" w:after="17" w:line="240" w:lineRule="exact"/>
        <w:rPr>
          <w:sz w:val="19"/>
          <w:szCs w:val="19"/>
        </w:rPr>
      </w:pPr>
    </w:p>
    <w:p w:rsidR="0040292F" w:rsidRDefault="0040292F">
      <w:pPr>
        <w:rPr>
          <w:sz w:val="2"/>
          <w:szCs w:val="2"/>
        </w:rPr>
        <w:sectPr w:rsidR="0040292F">
          <w:pgSz w:w="11900" w:h="16840"/>
          <w:pgMar w:top="541" w:right="0" w:bottom="375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3427"/>
        <w:gridCol w:w="6504"/>
      </w:tblGrid>
      <w:tr w:rsidR="0040292F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"/>
              </w:rPr>
              <w:t>Ходатайство об установлении публичного сервитута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1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r>
              <w:rPr>
                <w:rStyle w:val="2105pt"/>
              </w:rPr>
              <w:t>Администрация Березовского района (наименование органа, принимающего решение об установлении публичного сервитута)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2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 xml:space="preserve">Сведения о лице, представившем ходатайство об установлении </w:t>
            </w:r>
            <w:r>
              <w:rPr>
                <w:rStyle w:val="2105pt"/>
              </w:rPr>
              <w:t>публичного сервитута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(далее - заявитель):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Полное наименование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105pt"/>
              </w:rPr>
              <w:t>Акционерное общество «Югорская региональная электросетевая компания»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Сокращенное наименование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АО «ЮРЭСК»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Организационно-правовая форма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Акционерное общество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2.4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105pt"/>
              </w:rPr>
              <w:t xml:space="preserve">Почтовый адрес </w:t>
            </w:r>
            <w:r>
              <w:rPr>
                <w:rStyle w:val="2105pt"/>
              </w:rPr>
              <w:t>(индекс, субъект Российской Федерации, населенный пункт, улица, дом)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105pt0"/>
              </w:rPr>
              <w:t>628011, Ханты-Мансийский Автономный округ - Югра, г.о. Ханты-Мансийск, г. Ханты-Мансийск, ул. Ленина, зд. 52, помещ.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105pt0"/>
              </w:rPr>
              <w:t>2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2.5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>
              <w:rPr>
                <w:rStyle w:val="2105pt"/>
              </w:rPr>
              <w:t xml:space="preserve">Фактический адрес (индекс, субъект Российской Федерации, </w:t>
            </w:r>
            <w:r>
              <w:rPr>
                <w:rStyle w:val="2105pt"/>
              </w:rPr>
              <w:t>населенный пункт, улица, дом)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</w:pPr>
            <w:r>
              <w:rPr>
                <w:rStyle w:val="2105pt0"/>
              </w:rPr>
              <w:t>628011, Ханты-Мансийский Автономный округ - Югра, г.о. Ханты-Мансийск, г. Ханты-Мансийск, ул. Ленина, зд. 52, помещ.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</w:pPr>
            <w:r>
              <w:rPr>
                <w:rStyle w:val="2105pt0"/>
              </w:rPr>
              <w:t>2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2.6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Адрес электронной почты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hyperlink r:id="rId7" w:history="1">
              <w:r>
                <w:rPr>
                  <w:rStyle w:val="2105pt"/>
                  <w:lang w:val="en-US" w:eastAsia="en-US" w:bidi="en-US"/>
                </w:rPr>
                <w:t>office@yuresk.ru</w:t>
              </w:r>
            </w:hyperlink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2.7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ОГРН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1118601002596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2.8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ИНН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8601045152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3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Сведения о представителе заявителя: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3.1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Фамилия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Попов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Имя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Владимир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Отчество (при наличии)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Александрович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3.2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Адрес электронной почты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hyperlink r:id="rId8" w:history="1">
              <w:r>
                <w:rPr>
                  <w:rStyle w:val="2105pt"/>
                  <w:lang w:val="en-US" w:eastAsia="en-US" w:bidi="en-US"/>
                </w:rPr>
                <w:t>PopovVA@yuresk.ru</w:t>
              </w:r>
            </w:hyperlink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3.3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Телефон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 xml:space="preserve">8 (3467) 31-85-95 доб. </w:t>
            </w:r>
            <w:r>
              <w:rPr>
                <w:rStyle w:val="2105pt"/>
              </w:rPr>
              <w:t>9-1400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160"/>
            </w:pPr>
            <w:r>
              <w:rPr>
                <w:rStyle w:val="2105pt"/>
              </w:rPr>
              <w:t>3.4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105pt"/>
              </w:rPr>
              <w:t>Наименование и реквизиты документа, подтверждающего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105pt"/>
              </w:rPr>
              <w:t>полномочия представителя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105pt"/>
              </w:rPr>
              <w:t>заявителя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Доверенность №56 от 17.03.2026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258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4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</w:pPr>
            <w:r>
              <w:rPr>
                <w:rStyle w:val="2105pt"/>
              </w:rPr>
              <w:t>Прошу установить публичный сервитут в отношении земель и (или) земельного участка (земельных участков) в целях (указываются</w:t>
            </w:r>
            <w:r>
              <w:rPr>
                <w:rStyle w:val="2105pt"/>
              </w:rPr>
              <w:t xml:space="preserve"> цели, предусмотренные статьей 39.37 Земельного кодекса Российской Федерации или статьями 3.6, 3.9 Федерального закона от 25 октября 2001 г. № 137-ФЗ «О введении в действие Земельного кодекса Российской Федерации»):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</w:pPr>
            <w:r>
              <w:rPr>
                <w:rStyle w:val="2105pt"/>
              </w:rPr>
              <w:t>строительство, реконструкция, эксплуатац</w:t>
            </w:r>
            <w:r>
              <w:rPr>
                <w:rStyle w:val="2105pt"/>
              </w:rPr>
              <w:t>ия, капитальный ремонт объектов электросетевого хозяйства,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262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 xml:space="preserve">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трубопроводов для продуктов </w:t>
            </w:r>
            <w:r>
              <w:rPr>
                <w:rStyle w:val="2105pt"/>
              </w:rPr>
              <w:t>переработки нефти и газа,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оказания услуг связи, организации электро-, газо-, тепло-, водоснабжения насе</w:t>
            </w:r>
            <w:r>
              <w:rPr>
                <w:rStyle w:val="2105pt"/>
              </w:rPr>
              <w:t>ления и водоотведения,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 xml:space="preserve">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</w:t>
            </w:r>
            <w:r>
              <w:rPr>
                <w:rStyle w:val="2105pt"/>
              </w:rPr>
              <w:t>также - инженерные сооружения);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5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Испрашиваемый срок публичного сервитута 3 года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54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6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9" w:history="1">
              <w:r>
                <w:rPr>
                  <w:rStyle w:val="2105pt"/>
                </w:rPr>
                <w:t xml:space="preserve">подпунктом 4 пункта 1 статьи 39.41 </w:t>
              </w:r>
            </w:hyperlink>
            <w:r>
              <w:rPr>
                <w:rStyle w:val="2105pt"/>
              </w:rPr>
              <w:t>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</w:t>
            </w:r>
            <w:r>
              <w:rPr>
                <w:rStyle w:val="2105pt"/>
              </w:rPr>
              <w:t>стоятельств)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ind w:left="4020"/>
            </w:pPr>
            <w:r>
              <w:rPr>
                <w:rStyle w:val="2105pt"/>
              </w:rPr>
              <w:t>30 дней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308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40"/>
            </w:pPr>
            <w:r>
              <w:rPr>
                <w:rStyle w:val="2105pt"/>
              </w:rPr>
              <w:t>7</w:t>
            </w:r>
          </w:p>
        </w:tc>
        <w:tc>
          <w:tcPr>
            <w:tcW w:w="9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105pt"/>
              </w:rPr>
              <w:t>7.1 Планируемыми целями и задачами реализации инвестиционного проекта по строительству объекта «Реконструкция ТП-6/0,4 кВ №11-1008 инв. №000007741 в пгт.Березово Березовского района (КТП-6/0,4 кВ 1х100 кВА - 1 шт.)» являются: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605"/>
              </w:tabs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>развитие электрической сети/усиление существующей электрической сети, связанное с подключением новых потребителей;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725"/>
              </w:tabs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>замещение (обновление) электрической сети/повышение экономической эффективности (мероприятия, направленные на снижение эксплуатационных затра</w:t>
            </w:r>
            <w:r>
              <w:rPr>
                <w:rStyle w:val="2105pt"/>
              </w:rPr>
              <w:t>т) оказания услуг в сфере электроэнергетики;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565"/>
              </w:tabs>
              <w:spacing w:line="250" w:lineRule="exact"/>
              <w:ind w:firstLine="440"/>
            </w:pPr>
            <w:r>
              <w:rPr>
                <w:rStyle w:val="2105pt"/>
              </w:rPr>
              <w:t>повышение надежности оказываемых услуг в сфере электроэнергетики;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565"/>
              </w:tabs>
              <w:spacing w:line="250" w:lineRule="exact"/>
              <w:ind w:firstLine="440"/>
            </w:pPr>
            <w:r>
              <w:rPr>
                <w:rStyle w:val="2105pt"/>
              </w:rPr>
              <w:t>повышение качества оказываемых услуг в сфере электроэнергетики;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605"/>
              </w:tabs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 xml:space="preserve">выполнение требований законодательства Российской Федерации, предписаний органов </w:t>
            </w:r>
            <w:r>
              <w:rPr>
                <w:rStyle w:val="2105pt"/>
              </w:rPr>
              <w:t>исполнительной власти, регламентов рынков электрической энергии;</w:t>
            </w:r>
          </w:p>
        </w:tc>
      </w:tr>
    </w:tbl>
    <w:p w:rsidR="0040292F" w:rsidRDefault="0040292F">
      <w:pPr>
        <w:framePr w:w="10507" w:wrap="notBeside" w:vAnchor="text" w:hAnchor="text" w:xAlign="center" w:y="1"/>
        <w:rPr>
          <w:sz w:val="2"/>
          <w:szCs w:val="2"/>
        </w:rPr>
      </w:pPr>
    </w:p>
    <w:p w:rsidR="0040292F" w:rsidRDefault="0040292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9931"/>
      </w:tblGrid>
      <w:tr w:rsidR="0040292F">
        <w:tblPrEx>
          <w:tblCellMar>
            <w:top w:w="0" w:type="dxa"/>
            <w:bottom w:w="0" w:type="dxa"/>
          </w:tblCellMar>
        </w:tblPrEx>
        <w:trPr>
          <w:trHeight w:hRule="exact" w:val="8592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>- обеспечение текущей деятельности в сфере электроэнергетики, в том числе развитие информационной инфраструктуры, хозяйственное обеспечение деятельности.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 xml:space="preserve">Реализация инвестиционного </w:t>
            </w:r>
            <w:r>
              <w:rPr>
                <w:rStyle w:val="2105pt"/>
              </w:rPr>
              <w:t>проекта относительно инженерного сооружения осуществляется в 3 этапа: 1. Проектирование объекта электросетевого хозяйства. 2. Строительство электросетевого хозяйства. 3. Ввод в эксплуатацию электросетевого хозяйства. Срок реализации инвестиционного проекта</w:t>
            </w:r>
            <w:r>
              <w:rPr>
                <w:rStyle w:val="2105pt"/>
              </w:rPr>
              <w:t xml:space="preserve"> относительно инженерного сооружения 2028 год. Результатом реализации инвестиционного проекта относительно инженерного сооружения будет являться ввод в эксплуатацию объекта электросетевого хозяйства.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>Обоснование необходимости установления публичного сервит</w:t>
            </w:r>
            <w:r>
              <w:rPr>
                <w:rStyle w:val="2105pt"/>
              </w:rPr>
              <w:t>ута: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Трасса линий электропередачи согласована со всеми заинтересованными лицами. Размещение инженерного сооружение иным образом не представляется возможным, т.к. реконструируемая ТП с перезаводимыми линиями полностью расположена в границах земельного </w:t>
            </w:r>
            <w:r>
              <w:rPr>
                <w:rStyle w:val="2105pt"/>
              </w:rPr>
              <w:t>участка с кадастровым номером 86:05:0326001:14.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ind w:firstLine="760"/>
              <w:jc w:val="both"/>
            </w:pPr>
            <w:r>
              <w:rPr>
                <w:rStyle w:val="2105pt"/>
              </w:rPr>
              <w:t>Краткое описание инвестиционной программы относительно инженерного сооружения: Строительство объекта электросетевого хозяйства «Реконструкция ТП-6/0,4 кВ №11-1008 инв. №000007741 в пгт.Березово Березовского р</w:t>
            </w:r>
            <w:r>
              <w:rPr>
                <w:rStyle w:val="2105pt"/>
              </w:rPr>
              <w:t>айона (КТП-6/0,4 кВ 1х100 кВА - 1 шт.)» осуществляется в соответствии с инвестиционной программой АО «ЮРЭСК» на 2025-2028 годы, утверждённой приказом Департамента жилищно-коммунального комплекса и энергетики Ханты-Мансийского автономного округа - Югры № 46</w:t>
            </w:r>
            <w:r>
              <w:rPr>
                <w:rStyle w:val="2105pt"/>
              </w:rPr>
              <w:t>-Пр-163 от 15.12.2025г. «Об утверждении инвестиционной программы АО «ЮРЭСК» на 2025-2028 годы и изменений, вносимых в инвестиционную программу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АО «ЮРЭСК», утвержденную приказом ДепЖКК и энергетики Югры от 15 октября 2024 года № 46-Пр-1». В приложении №1 к </w:t>
            </w:r>
            <w:r>
              <w:rPr>
                <w:rStyle w:val="2105pt"/>
              </w:rPr>
              <w:t>Приказу ДепЖКК и энергетики Югры № 46-Пр-163 от 15.12.2025г. объект строительства включён в группу инвестиционных проектов 1.1.1.2. В соответствии с пунктом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>14 части II Стандартов раскрытия информации, утвержденных Приказом Министерства энергетики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РФ от 5 </w:t>
            </w:r>
            <w:r>
              <w:rPr>
                <w:rStyle w:val="2105pt"/>
              </w:rPr>
              <w:t>мая 2016 г. № 380 “Об утверждении форм раскрытия сетевой организацией информации об инвестиционной программе (о проекте инвестиционной программы и (или) проекте изменений, вносимых в инвестиционную программу) и обосновывающих ее материалах, указанной в абз</w:t>
            </w:r>
            <w:r>
              <w:rPr>
                <w:rStyle w:val="2105pt"/>
              </w:rPr>
              <w:t>ацах втором - четвертом, шестом, восьмом и десятом подпункта «ж» пункта 11 стандартов раскрытия информации субъектами оптового и розничных рынков электрической энергии, утвержденных постановлением Правительства Российской Федерации от 21 января 2004 г. № 2</w:t>
            </w:r>
            <w:r>
              <w:rPr>
                <w:rStyle w:val="2105pt"/>
              </w:rPr>
              <w:t>4, правил заполнения указанных форм и требований к форматам раскрытия сетевой организацией электронных документов, содержащих информацию об инвестиционной программе...”, в группе проектов "Реконструкция трансформаторных и иных подстанций" информация об инв</w:t>
            </w:r>
            <w:r>
              <w:rPr>
                <w:rStyle w:val="2105pt"/>
              </w:rPr>
              <w:t>естиционных проектах указывается суммарно, без указания наименований отдельных инвестиционных проектов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9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both"/>
            </w:pPr>
            <w:r>
              <w:rPr>
                <w:rStyle w:val="2105pt"/>
              </w:rPr>
              <w:t>и без распределения указанной информации по ним.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093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9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840"/>
              </w:tabs>
              <w:spacing w:line="250" w:lineRule="exact"/>
              <w:ind w:firstLine="440"/>
            </w:pPr>
            <w:r>
              <w:rPr>
                <w:rStyle w:val="2105pt"/>
              </w:rPr>
              <w:t>Определяющими условиями при выборе мест строительства и размещения объектов явились: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5"/>
              </w:tabs>
              <w:spacing w:line="250" w:lineRule="exact"/>
              <w:jc w:val="both"/>
            </w:pPr>
            <w:r>
              <w:rPr>
                <w:rStyle w:val="2105pt"/>
              </w:rPr>
              <w:t xml:space="preserve">использование </w:t>
            </w:r>
            <w:r>
              <w:rPr>
                <w:rStyle w:val="2105pt"/>
              </w:rPr>
              <w:t>просек и коридоров прохождения существующих линий;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5"/>
              </w:tabs>
              <w:spacing w:line="250" w:lineRule="exact"/>
              <w:jc w:val="both"/>
            </w:pPr>
            <w:r>
              <w:rPr>
                <w:rStyle w:val="2105pt"/>
              </w:rPr>
              <w:t>использование малопригодных для сельхозугодий земель;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0"/>
              </w:tabs>
              <w:spacing w:line="250" w:lineRule="exact"/>
              <w:jc w:val="both"/>
            </w:pPr>
            <w:r>
              <w:rPr>
                <w:rStyle w:val="2105pt"/>
              </w:rPr>
              <w:t>минимизация ущерба, причиняемого окружающей среде;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0"/>
              </w:tabs>
              <w:spacing w:line="250" w:lineRule="exact"/>
              <w:jc w:val="both"/>
            </w:pPr>
            <w:r>
              <w:rPr>
                <w:rStyle w:val="2105pt"/>
              </w:rPr>
              <w:t>минимизация техногенного воздействия на компоненты экосистемы региона;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0"/>
              </w:tabs>
              <w:spacing w:line="250" w:lineRule="exact"/>
              <w:jc w:val="both"/>
            </w:pPr>
            <w:r>
              <w:rPr>
                <w:rStyle w:val="2105pt"/>
              </w:rPr>
              <w:t>отсутствие в зоне строительст</w:t>
            </w:r>
            <w:r>
              <w:rPr>
                <w:rStyle w:val="2105pt"/>
              </w:rPr>
              <w:t>ва объектов культурного наследия, заповедников и заказников;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25"/>
              </w:tabs>
              <w:spacing w:line="250" w:lineRule="exact"/>
            </w:pPr>
            <w:r>
              <w:rPr>
                <w:rStyle w:val="2105pt"/>
              </w:rPr>
              <w:t>максимально-возможное использование земель в неперспективной зоне, где вероятность нахождения объектов культурного наследия мала в силу геоморфологических и ландшафтных особенностей.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>Искусственны</w:t>
            </w:r>
            <w:r>
              <w:rPr>
                <w:rStyle w:val="2105pt"/>
              </w:rPr>
              <w:t>е сооружения на территории проектирования отсутствуют.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864"/>
              </w:tabs>
              <w:spacing w:line="250" w:lineRule="exact"/>
              <w:ind w:firstLine="440"/>
              <w:jc w:val="both"/>
            </w:pPr>
            <w:r>
              <w:rPr>
                <w:rStyle w:val="2105pt"/>
              </w:rPr>
              <w:t xml:space="preserve">Инженерное сооружение «Реконструкция ТП-6/0,4 кВ №11-1008 инв. №000007741 в пгт.Березово Березовского района (КТП-6/0,4 кВ 1х100 кВА - 1 шт.)» не подлежит отображению в документах территориального </w:t>
            </w:r>
            <w:r>
              <w:rPr>
                <w:rStyle w:val="2105pt"/>
              </w:rPr>
              <w:t>планирования, а также соответствии с законодательством о градостроительной деятельности для размещения указанных инженерного сооружения не требуется разработка документации по планировке территории. Для размещения объекта выбран вариант установления публич</w:t>
            </w:r>
            <w:r>
              <w:rPr>
                <w:rStyle w:val="2105pt"/>
              </w:rPr>
              <w:t>ного сервитута для целесообразного и наиболее эффективного обеспечения безопасности населения и существующих зданий и сооружений, являющийся наименее обременительным для использования земельного участка с кадастровым номером 86:05:0326001:14 в соответствии</w:t>
            </w:r>
            <w:r>
              <w:rPr>
                <w:rStyle w:val="2105pt"/>
              </w:rPr>
              <w:t xml:space="preserve"> с разрешенным использованием.</w:t>
            </w:r>
          </w:p>
        </w:tc>
      </w:tr>
    </w:tbl>
    <w:p w:rsidR="0040292F" w:rsidRDefault="0040292F">
      <w:pPr>
        <w:framePr w:w="10507" w:wrap="notBeside" w:vAnchor="text" w:hAnchor="text" w:xAlign="center" w:y="1"/>
        <w:rPr>
          <w:sz w:val="2"/>
          <w:szCs w:val="2"/>
        </w:rPr>
      </w:pPr>
    </w:p>
    <w:p w:rsidR="0040292F" w:rsidRDefault="0040292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92"/>
        <w:gridCol w:w="5064"/>
        <w:gridCol w:w="1565"/>
        <w:gridCol w:w="422"/>
        <w:gridCol w:w="158"/>
        <w:gridCol w:w="2530"/>
      </w:tblGrid>
      <w:tr w:rsidR="0040292F">
        <w:tblPrEx>
          <w:tblCellMar>
            <w:top w:w="0" w:type="dxa"/>
            <w:bottom w:w="0" w:type="dxa"/>
          </w:tblCellMar>
        </w:tblPrEx>
        <w:trPr>
          <w:trHeight w:hRule="exact" w:val="355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lastRenderedPageBreak/>
              <w:t>8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нужд, а также о правообладателе инженерного сооружения, являющегося </w:t>
            </w:r>
            <w:r>
              <w:rPr>
                <w:rStyle w:val="2105pt"/>
              </w:rPr>
              <w:t>линейным объектом, реконструкция,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</w:t>
            </w:r>
            <w:r>
              <w:rPr>
                <w:rStyle w:val="2105pt"/>
              </w:rPr>
              <w:t>учае, если заявитель не является правообладателем указанного инженерного сооружения (в данном случае указываются сведения в объеме, предусмотренном</w:t>
            </w:r>
            <w:hyperlink r:id="rId10" w:history="1">
              <w:r>
                <w:rPr>
                  <w:rStyle w:val="2105pt"/>
                </w:rPr>
                <w:t xml:space="preserve"> строкой 2 </w:t>
              </w:r>
            </w:hyperlink>
            <w:r>
              <w:rPr>
                <w:rStyle w:val="2105pt"/>
              </w:rPr>
              <w:t>настоящей фор</w:t>
            </w:r>
            <w:r>
              <w:rPr>
                <w:rStyle w:val="2105pt"/>
              </w:rPr>
              <w:t>мы) (заполняется в случае,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сооружения, являющегося линейным объектом, реконструкции его участка (части), которое пере</w:t>
            </w:r>
            <w:r>
              <w:rPr>
                <w:rStyle w:val="2105pt"/>
              </w:rPr>
              <w:t>носится в связи с изъятием такого земельного участка для государственных или муниципальных нужд, а также если ходатайство об установлении публичного сервитута подается с целью установления публичного сервитута в целях реконструкции, капитального ремонта ин</w:t>
            </w:r>
            <w:r>
              <w:rPr>
                <w:rStyle w:val="2105pt"/>
              </w:rPr>
              <w:t>женерного сооружения, являющегося линейным объектом, реконструкции, капитального ремонта его участков (частей).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9</w:t>
            </w:r>
          </w:p>
        </w:tc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</w:t>
            </w:r>
            <w:r>
              <w:rPr>
                <w:rStyle w:val="2105pt"/>
              </w:rPr>
              <w:t>ли иное описание местоположения таких земельных участков</w:t>
            </w:r>
          </w:p>
        </w:tc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6F6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  <w:rPr>
                <w:rStyle w:val="2105pt"/>
              </w:rPr>
            </w:pP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bookmarkStart w:id="0" w:name="_GoBack"/>
            <w:bookmarkEnd w:id="0"/>
            <w:r>
              <w:rPr>
                <w:rStyle w:val="2105pt"/>
              </w:rPr>
              <w:t>86:05:0326001:14 (23 кв.м.).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78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10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Право, на котором инженерное сооружение принадлежит заявителю (если подано ходатайство об установлении публичного сервитута для реконструкции, капитального ремонта </w:t>
            </w:r>
            <w:r>
              <w:rPr>
                <w:rStyle w:val="2105pt"/>
              </w:rPr>
              <w:t>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 (предоставление правоустанавливающих документов на линейный объект не требуется в случае, если</w:t>
            </w:r>
            <w:r>
              <w:rPr>
                <w:rStyle w:val="2105pt"/>
              </w:rPr>
              <w:t xml:space="preserve"> ходатайство об установлении публичного сервитута подано в соответствии со</w:t>
            </w:r>
            <w:hyperlink r:id="rId11" w:history="1">
              <w:r>
                <w:rPr>
                  <w:rStyle w:val="2105pt"/>
                </w:rPr>
                <w:t xml:space="preserve"> статьей 3.9 </w:t>
              </w:r>
            </w:hyperlink>
            <w:r>
              <w:rPr>
                <w:rStyle w:val="2105pt"/>
              </w:rPr>
              <w:t xml:space="preserve">Федерального закона от 25 октября 2001 г. </w:t>
            </w:r>
            <w:r>
              <w:rPr>
                <w:rStyle w:val="2105pt"/>
                <w:lang w:val="en-US" w:eastAsia="en-US" w:bidi="en-US"/>
              </w:rPr>
              <w:t>N</w:t>
            </w:r>
            <w:r w:rsidRPr="00BB76F6">
              <w:rPr>
                <w:rStyle w:val="2105pt"/>
                <w:lang w:eastAsia="en-US" w:bidi="en-US"/>
              </w:rPr>
              <w:t xml:space="preserve"> </w:t>
            </w:r>
            <w:r>
              <w:rPr>
                <w:rStyle w:val="2105pt"/>
              </w:rPr>
              <w:t>137-ФЗ "О введении в действие Земельного ко</w:t>
            </w:r>
            <w:r>
              <w:rPr>
                <w:rStyle w:val="2105pt"/>
              </w:rPr>
              <w:t>декса Российской Федерации).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11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both"/>
            </w:pPr>
            <w:r>
              <w:rPr>
                <w:rStyle w:val="2105pt"/>
              </w:rPr>
              <w:t>Сведения о способах представления результатов рассмотрения ходатайства: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740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840"/>
            </w:pPr>
            <w:r>
              <w:rPr>
                <w:rStyle w:val="2105pt"/>
              </w:rPr>
              <w:t>Да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640"/>
            </w:pPr>
            <w:r>
              <w:rPr>
                <w:rStyle w:val="2105pt"/>
              </w:rPr>
              <w:t>(да/нет)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740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 xml:space="preserve">в виде бумажного </w:t>
            </w:r>
            <w:r>
              <w:rPr>
                <w:rStyle w:val="2105pt"/>
              </w:rPr>
              <w:t>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840"/>
            </w:pPr>
            <w:r>
              <w:rPr>
                <w:rStyle w:val="2105pt"/>
              </w:rPr>
              <w:t>Нет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640"/>
            </w:pPr>
            <w:r>
              <w:rPr>
                <w:rStyle w:val="2105pt"/>
              </w:rPr>
              <w:t>(да/нет)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355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12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>Документы, прилагаемые к ходатайству: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  <w:spacing w:line="250" w:lineRule="exact"/>
              <w:jc w:val="both"/>
            </w:pPr>
            <w:r>
              <w:rPr>
                <w:rStyle w:val="2105pt"/>
              </w:rPr>
              <w:t>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</w:t>
            </w:r>
            <w:r>
              <w:rPr>
                <w:rStyle w:val="2105pt"/>
              </w:rPr>
              <w:t xml:space="preserve">ения Единого государственного реестра недвижимости, в виде файла в формате </w:t>
            </w:r>
            <w:r>
              <w:rPr>
                <w:rStyle w:val="2105pt"/>
                <w:lang w:val="en-US" w:eastAsia="en-US" w:bidi="en-US"/>
              </w:rPr>
              <w:t>XML</w:t>
            </w:r>
            <w:r w:rsidRPr="00BB76F6">
              <w:rPr>
                <w:rStyle w:val="2105pt"/>
                <w:lang w:eastAsia="en-US" w:bidi="en-US"/>
              </w:rPr>
              <w:t>;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50" w:lineRule="exact"/>
              <w:jc w:val="both"/>
            </w:pPr>
            <w:r>
              <w:rPr>
                <w:rStyle w:val="2105pt"/>
              </w:rPr>
              <w:t xml:space="preserve">Схема расположения границ публичного сервитута, в виде файла в формате </w:t>
            </w:r>
            <w:r>
              <w:rPr>
                <w:rStyle w:val="2105pt"/>
                <w:lang w:val="en-US" w:eastAsia="en-US" w:bidi="en-US"/>
              </w:rPr>
              <w:t>PDF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50" w:lineRule="exact"/>
            </w:pPr>
            <w:r>
              <w:rPr>
                <w:rStyle w:val="2105pt"/>
              </w:rPr>
              <w:t>Описание границ публичного сервитута, содержащего координаты характерных точек границ публичного сер</w:t>
            </w:r>
            <w:r>
              <w:rPr>
                <w:rStyle w:val="2105pt"/>
              </w:rPr>
              <w:t xml:space="preserve">витута, в виде файла в формате </w:t>
            </w:r>
            <w:r>
              <w:rPr>
                <w:rStyle w:val="2105pt"/>
                <w:lang w:val="en-US" w:eastAsia="en-US" w:bidi="en-US"/>
              </w:rPr>
              <w:t>PDF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21"/>
              </w:tabs>
              <w:spacing w:line="250" w:lineRule="exact"/>
              <w:jc w:val="both"/>
            </w:pPr>
            <w:r>
              <w:rPr>
                <w:rStyle w:val="2105pt"/>
              </w:rPr>
              <w:t xml:space="preserve">Копия доверенности, в виде файла в формате </w:t>
            </w:r>
            <w:r>
              <w:rPr>
                <w:rStyle w:val="2105pt"/>
                <w:lang w:val="en-US" w:eastAsia="en-US" w:bidi="en-US"/>
              </w:rPr>
              <w:t>PDF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50" w:lineRule="exact"/>
            </w:pPr>
            <w:r>
              <w:rPr>
                <w:rStyle w:val="2105pt"/>
              </w:rPr>
              <w:t xml:space="preserve">Фрагмент кадастрового плана территории с приведением сравнительных вариантов размещения сооружения, в виде архива в формате </w:t>
            </w:r>
            <w:r w:rsidRPr="00BB76F6">
              <w:rPr>
                <w:rStyle w:val="2105pt"/>
                <w:lang w:eastAsia="en-US" w:bidi="en-US"/>
              </w:rPr>
              <w:t>«</w:t>
            </w:r>
            <w:r>
              <w:rPr>
                <w:rStyle w:val="2105pt"/>
                <w:lang w:val="en-US" w:eastAsia="en-US" w:bidi="en-US"/>
              </w:rPr>
              <w:t>zip</w:t>
            </w:r>
            <w:r w:rsidRPr="00BB76F6">
              <w:rPr>
                <w:rStyle w:val="2105pt"/>
                <w:lang w:eastAsia="en-US" w:bidi="en-US"/>
              </w:rPr>
              <w:t xml:space="preserve">» </w:t>
            </w:r>
            <w:r>
              <w:rPr>
                <w:rStyle w:val="2105pt"/>
              </w:rPr>
              <w:t xml:space="preserve">содержащего файлы в формате </w:t>
            </w:r>
            <w:r>
              <w:rPr>
                <w:rStyle w:val="2105pt"/>
                <w:lang w:val="en-US" w:eastAsia="en-US" w:bidi="en-US"/>
              </w:rPr>
              <w:t>MapInfo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line="250" w:lineRule="exact"/>
            </w:pPr>
            <w:r>
              <w:rPr>
                <w:rStyle w:val="2105pt"/>
              </w:rPr>
              <w:t xml:space="preserve">Копия приказа департамента ЖКК и энергетики ХМАО-Югры № 46-Пр-163 от 15.12.2025г., в виде файла в формате </w:t>
            </w:r>
            <w:r>
              <w:rPr>
                <w:rStyle w:val="2105pt"/>
                <w:lang w:val="en-US" w:eastAsia="en-US" w:bidi="en-US"/>
              </w:rPr>
              <w:t>PDF</w:t>
            </w:r>
            <w:r w:rsidRPr="00BB76F6">
              <w:rPr>
                <w:rStyle w:val="2105pt"/>
                <w:lang w:eastAsia="en-US" w:bidi="en-US"/>
              </w:rPr>
              <w:t xml:space="preserve"> </w:t>
            </w:r>
            <w:r>
              <w:rPr>
                <w:rStyle w:val="2105pt"/>
              </w:rPr>
              <w:t xml:space="preserve">с приложением в виде файла в формате </w:t>
            </w:r>
            <w:r>
              <w:rPr>
                <w:rStyle w:val="2105pt"/>
                <w:lang w:val="en-US" w:eastAsia="en-US" w:bidi="en-US"/>
              </w:rPr>
              <w:t>XLSX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  <w:p w:rsidR="0040292F" w:rsidRDefault="00BB76F6">
            <w:pPr>
              <w:pStyle w:val="20"/>
              <w:framePr w:w="1050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1"/>
              </w:tabs>
              <w:spacing w:line="250" w:lineRule="exact"/>
              <w:jc w:val="both"/>
            </w:pPr>
            <w:r>
              <w:rPr>
                <w:rStyle w:val="2105pt"/>
              </w:rPr>
              <w:t xml:space="preserve">Приказ Минэнерго России от 05.05.2016 </w:t>
            </w:r>
            <w:r>
              <w:rPr>
                <w:rStyle w:val="2105pt"/>
                <w:lang w:val="en-US" w:eastAsia="en-US" w:bidi="en-US"/>
              </w:rPr>
              <w:t>N</w:t>
            </w:r>
            <w:r w:rsidRPr="00BB76F6">
              <w:rPr>
                <w:rStyle w:val="2105pt"/>
                <w:lang w:eastAsia="en-US" w:bidi="en-US"/>
              </w:rPr>
              <w:t xml:space="preserve"> </w:t>
            </w:r>
            <w:r>
              <w:rPr>
                <w:rStyle w:val="2105pt"/>
              </w:rPr>
              <w:t xml:space="preserve">380 в формате </w:t>
            </w:r>
            <w:r>
              <w:rPr>
                <w:rStyle w:val="2105pt"/>
                <w:lang w:val="en-US" w:eastAsia="en-US" w:bidi="en-US"/>
              </w:rPr>
              <w:t>DOCX</w:t>
            </w:r>
            <w:r w:rsidRPr="00BB76F6">
              <w:rPr>
                <w:rStyle w:val="2105pt"/>
                <w:lang w:eastAsia="en-US" w:bidi="en-US"/>
              </w:rPr>
              <w:t>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13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2105pt"/>
              </w:rPr>
              <w:t xml:space="preserve">Подтверждаю согласие на обработку </w:t>
            </w:r>
            <w:r>
              <w:rPr>
                <w:rStyle w:val="2105pt"/>
              </w:rPr>
              <w:t xml:space="preserve">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</w:t>
            </w:r>
            <w:r>
              <w:rPr>
                <w:rStyle w:val="2105pt"/>
              </w:rPr>
              <w:t>обработки персональных данных в соответствии с законодательством Российской Федерации), в том числе в автоматизированном режиме.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14</w:t>
            </w:r>
          </w:p>
        </w:tc>
        <w:tc>
          <w:tcPr>
            <w:tcW w:w="99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54" w:lineRule="exact"/>
              <w:jc w:val="both"/>
            </w:pPr>
            <w:r>
              <w:rPr>
                <w:rStyle w:val="2105pt"/>
              </w:rPr>
              <w:t>Подтверждаю, что сведения, указанные в настоящем ходатайстве, на дату представления ходатайства достоверны; документы (копи</w:t>
            </w:r>
            <w:r>
              <w:rPr>
                <w:rStyle w:val="2105pt"/>
              </w:rPr>
              <w:t>и документов) и содержащиеся в них сведения соответствуют требованиям, установленным статьей 39.41 Земельного кодекса Российской Федерации.</w:t>
            </w:r>
          </w:p>
        </w:tc>
      </w:tr>
      <w:tr w:rsidR="0040292F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220"/>
            </w:pPr>
            <w:r>
              <w:rPr>
                <w:rStyle w:val="2105pt"/>
              </w:rPr>
              <w:t>15</w:t>
            </w:r>
          </w:p>
        </w:tc>
        <w:tc>
          <w:tcPr>
            <w:tcW w:w="68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Подпись: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jc w:val="center"/>
            </w:pPr>
            <w:r>
              <w:rPr>
                <w:rStyle w:val="2105pt"/>
              </w:rPr>
              <w:t>Дата:</w:t>
            </w:r>
          </w:p>
        </w:tc>
      </w:tr>
      <w:tr w:rsidR="0040292F" w:rsidTr="00BB76F6">
        <w:tblPrEx>
          <w:tblCellMar>
            <w:top w:w="0" w:type="dxa"/>
            <w:bottom w:w="0" w:type="dxa"/>
          </w:tblCellMar>
        </w:tblPrEx>
        <w:trPr>
          <w:trHeight w:hRule="exact" w:val="788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  <w:ind w:left="4260"/>
            </w:pPr>
            <w:r>
              <w:rPr>
                <w:rStyle w:val="2105pt"/>
              </w:rPr>
              <w:t>Попов В.А.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«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292F" w:rsidRDefault="00BB76F6">
            <w:pPr>
              <w:pStyle w:val="20"/>
              <w:framePr w:w="10507" w:wrap="notBeside" w:vAnchor="text" w:hAnchor="text" w:xAlign="center" w:y="1"/>
              <w:shd w:val="clear" w:color="auto" w:fill="auto"/>
              <w:tabs>
                <w:tab w:val="left" w:pos="1949"/>
              </w:tabs>
              <w:spacing w:line="232" w:lineRule="exact"/>
              <w:jc w:val="both"/>
            </w:pPr>
            <w:r>
              <w:rPr>
                <w:rStyle w:val="2105pt"/>
              </w:rPr>
              <w:t>»</w:t>
            </w:r>
            <w:r>
              <w:rPr>
                <w:rStyle w:val="2105pt"/>
              </w:rPr>
              <w:tab/>
              <w:t>г.</w:t>
            </w:r>
          </w:p>
        </w:tc>
      </w:tr>
      <w:tr w:rsidR="0040292F" w:rsidTr="00BB76F6">
        <w:tblPrEx>
          <w:tblCellMar>
            <w:top w:w="0" w:type="dxa"/>
            <w:bottom w:w="0" w:type="dxa"/>
          </w:tblCellMar>
        </w:tblPrEx>
        <w:trPr>
          <w:trHeight w:hRule="exact" w:val="63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192" w:type="dxa"/>
            <w:tcBorders>
              <w:lef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51" w:type="dxa"/>
            <w:gridSpan w:val="3"/>
            <w:vMerge w:val="restart"/>
            <w:shd w:val="clear" w:color="auto" w:fill="FFFFFF"/>
            <w:vAlign w:val="bottom"/>
          </w:tcPr>
          <w:p w:rsidR="0040292F" w:rsidRDefault="0040292F">
            <w:pPr>
              <w:pStyle w:val="20"/>
              <w:framePr w:w="10507" w:wrap="notBeside" w:vAnchor="text" w:hAnchor="text" w:xAlign="center" w:y="1"/>
              <w:shd w:val="clear" w:color="auto" w:fill="auto"/>
              <w:tabs>
                <w:tab w:val="left" w:leader="underscore" w:pos="6994"/>
              </w:tabs>
              <w:spacing w:line="122" w:lineRule="exact"/>
              <w:jc w:val="both"/>
            </w:pPr>
          </w:p>
        </w:tc>
        <w:tc>
          <w:tcPr>
            <w:tcW w:w="158" w:type="dxa"/>
            <w:tcBorders>
              <w:left w:val="nil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0292F" w:rsidTr="00BB76F6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51" w:type="dxa"/>
            <w:gridSpan w:val="3"/>
            <w:vMerge/>
            <w:shd w:val="clear" w:color="auto" w:fill="FFFFFF"/>
            <w:vAlign w:val="bottom"/>
          </w:tcPr>
          <w:p w:rsidR="0040292F" w:rsidRDefault="0040292F">
            <w:pPr>
              <w:framePr w:w="10507" w:wrap="notBeside" w:vAnchor="text" w:hAnchor="text" w:xAlign="center" w:y="1"/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</w:tcBorders>
            <w:shd w:val="clear" w:color="auto" w:fill="FFFFFF"/>
          </w:tcPr>
          <w:p w:rsidR="0040292F" w:rsidRDefault="0040292F">
            <w:pPr>
              <w:framePr w:w="1050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0292F" w:rsidRDefault="0040292F">
      <w:pPr>
        <w:framePr w:w="10507" w:wrap="notBeside" w:vAnchor="text" w:hAnchor="text" w:xAlign="center" w:y="1"/>
        <w:rPr>
          <w:sz w:val="2"/>
          <w:szCs w:val="2"/>
        </w:rPr>
      </w:pPr>
    </w:p>
    <w:p w:rsidR="0040292F" w:rsidRDefault="0040292F">
      <w:pPr>
        <w:rPr>
          <w:sz w:val="2"/>
          <w:szCs w:val="2"/>
        </w:rPr>
      </w:pPr>
    </w:p>
    <w:p w:rsidR="0040292F" w:rsidRDefault="0040292F">
      <w:pPr>
        <w:rPr>
          <w:sz w:val="2"/>
          <w:szCs w:val="2"/>
        </w:rPr>
      </w:pPr>
    </w:p>
    <w:sectPr w:rsidR="0040292F">
      <w:type w:val="continuous"/>
      <w:pgSz w:w="11900" w:h="16840"/>
      <w:pgMar w:top="541" w:right="415" w:bottom="375" w:left="9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6F6" w:rsidRDefault="00BB76F6">
      <w:r>
        <w:separator/>
      </w:r>
    </w:p>
  </w:endnote>
  <w:endnote w:type="continuationSeparator" w:id="0">
    <w:p w:rsidR="00BB76F6" w:rsidRDefault="00BB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6F6" w:rsidRDefault="00BB76F6"/>
  </w:footnote>
  <w:footnote w:type="continuationSeparator" w:id="0">
    <w:p w:rsidR="00BB76F6" w:rsidRDefault="00BB76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F53C2"/>
    <w:multiLevelType w:val="multilevel"/>
    <w:tmpl w:val="FCFE25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34301C"/>
    <w:multiLevelType w:val="multilevel"/>
    <w:tmpl w:val="C29EB004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197B60"/>
    <w:multiLevelType w:val="multilevel"/>
    <w:tmpl w:val="DFA8EE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FF1F4E"/>
    <w:multiLevelType w:val="multilevel"/>
    <w:tmpl w:val="53AC82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2F"/>
    <w:rsid w:val="0040292F"/>
    <w:rsid w:val="00BB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F6CD"/>
  <w15:docId w15:val="{EE7447A3-0CD0-4536-9739-62DC7F64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626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7068C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1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7068C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LucidaSansUnicode4pt">
    <w:name w:val="Основной текст (2) + Lucida Sans Unicode;4 pt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7068C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povVA@yure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yures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9797&amp;dst=37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68305&amp;dst=1000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068&amp;dst=2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Корикова Василина Владимировна</dc:creator>
  <cp:lastModifiedBy>Корикова Василина Владимировна</cp:lastModifiedBy>
  <cp:revision>1</cp:revision>
  <dcterms:created xsi:type="dcterms:W3CDTF">2026-09-07T11:15:00Z</dcterms:created>
  <dcterms:modified xsi:type="dcterms:W3CDTF">2026-09-07T11:18:00Z</dcterms:modified>
</cp:coreProperties>
</file>