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69BC" w:rsidRPr="00D91898" w:rsidRDefault="004D253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bookmarkStart w:id="0" w:name="_GoBack"/>
      <w:bookmarkEnd w:id="0"/>
      <w:r w:rsidRPr="00D91898">
        <w:rPr>
          <w:rFonts w:ascii="Times New Roman" w:hAnsi="Times New Roman" w:cs="Times New Roman"/>
          <w:bCs/>
          <w:sz w:val="28"/>
          <w:szCs w:val="28"/>
        </w:rPr>
        <w:t xml:space="preserve">Рекомендации по выделению обязательных требований, содержащихся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в нормативных правовых актах Ханты-Мансийского автономного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округа – Югры (далее – рекомендации, автономный округ)</w:t>
      </w:r>
    </w:p>
    <w:p w:rsidR="00BA69BC" w:rsidRPr="00D91898" w:rsidRDefault="00BA69BC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3325A7">
      <w:pPr>
        <w:shd w:val="clear" w:color="auto" w:fill="FFFFFF"/>
        <w:spacing w:after="0" w:line="36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  <w:lang w:val="en-US"/>
        </w:rPr>
        <w:t>I</w:t>
      </w:r>
      <w:r w:rsidR="004D2530" w:rsidRPr="00D91898">
        <w:rPr>
          <w:rFonts w:ascii="Times New Roman" w:hAnsi="Times New Roman" w:cs="Times New Roman"/>
          <w:bCs/>
          <w:sz w:val="28"/>
          <w:szCs w:val="28"/>
        </w:rPr>
        <w:t>. Общие положения</w:t>
      </w:r>
    </w:p>
    <w:p w:rsidR="00BA69BC" w:rsidRPr="00D91898" w:rsidRDefault="00BA69BC">
      <w:pPr>
        <w:shd w:val="clear" w:color="auto" w:fill="FFFFFF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1. Настоящие рекомендации подготовлены в целях определения порядка выделения обязательных требований, содержащихся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в нормативных правовых актах автономного округа, связанных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с осуществлением предпринимательской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 (далее – НПА, обязательные требования) из структурных единиц таких НПА и их последующего внесения в Реестр обязательных требований автономного округа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(далее – Реестр).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2. В соответствии с Федеральным законом от 31 июля 2020 года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№ 247-ФЗ «Об обязательных требованиях в Российской Федерации», постановлениями Правительства автономного округа от 1 октября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2021 года № 408-п «О Порядке установления и оценки применения обязательных требований,</w:t>
      </w:r>
      <w:r w:rsidRPr="00D91898">
        <w:t xml:space="preserve"> </w:t>
      </w:r>
      <w:r w:rsidRPr="00D91898">
        <w:rPr>
          <w:rFonts w:ascii="Times New Roman" w:hAnsi="Times New Roman" w:cs="Times New Roman"/>
          <w:bCs/>
          <w:sz w:val="28"/>
          <w:szCs w:val="28"/>
        </w:rPr>
        <w:t xml:space="preserve">содержащихся в нормативных правовых актах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Ханты-Мансийского автономного округа – Югры, в том числе оценки фактического воздействия указанных нормативных правовых актов»,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от 29 декабря 2022 года № 744-п «О порядке формирования, ведения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и актуализации Реестра обязательных требований, устанавливаемых нормативными правовыми актами Ханты-Мансийского автономного округа – Югры» под обязательными требованиями, подлежащими включению в Реестр, понимаются требования, </w:t>
      </w:r>
      <w:r w:rsidR="003325A7" w:rsidRPr="00D91898">
        <w:rPr>
          <w:rFonts w:ascii="Times New Roman" w:hAnsi="Times New Roman" w:cs="Times New Roman"/>
          <w:bCs/>
          <w:sz w:val="28"/>
          <w:szCs w:val="28"/>
        </w:rPr>
        <w:t>соответствующие следующим критериям</w:t>
      </w:r>
      <w:r w:rsidRPr="00D91898">
        <w:rPr>
          <w:rFonts w:ascii="Times New Roman" w:hAnsi="Times New Roman" w:cs="Times New Roman"/>
          <w:bCs/>
          <w:sz w:val="28"/>
          <w:szCs w:val="28"/>
        </w:rPr>
        <w:t>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lastRenderedPageBreak/>
        <w:t>- содержатся в НПА автономного округа;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- связаны с осуществлением предпринимательской и иной экономической деятельности;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- оценка соблюдения таких требований осуществляется в рамках государственного контроля (надзора), муниципального контроля, привлечения к административной ответственности, предоставления лицензий и иных разрешений, аккредитации, оценки соответствия продукции, иных форм оценки и экспертизы.</w:t>
      </w:r>
    </w:p>
    <w:p w:rsidR="00BA69BC" w:rsidRPr="00D91898" w:rsidRDefault="00BA69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3325A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  <w:lang w:val="en-US"/>
        </w:rPr>
        <w:t>II</w:t>
      </w:r>
      <w:r w:rsidR="004D2530" w:rsidRPr="00D91898">
        <w:rPr>
          <w:rFonts w:ascii="Times New Roman" w:hAnsi="Times New Roman" w:cs="Times New Roman"/>
          <w:bCs/>
          <w:sz w:val="28"/>
          <w:szCs w:val="28"/>
        </w:rPr>
        <w:t>. Порядок выделения обязательных требований</w:t>
      </w:r>
    </w:p>
    <w:p w:rsidR="00BA69BC" w:rsidRPr="00D91898" w:rsidRDefault="00BA69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3. Для выделения обязательных требований необходимо провести анализ всех структурных единиц НПА, содержащих обязательные требования</w:t>
      </w:r>
      <w:r w:rsidRPr="00D91898">
        <w:rPr>
          <w:rStyle w:val="aff3"/>
          <w:rFonts w:ascii="Times New Roman" w:hAnsi="Times New Roman" w:cs="Times New Roman"/>
          <w:bCs/>
          <w:sz w:val="28"/>
          <w:szCs w:val="28"/>
        </w:rPr>
        <w:footnoteReference w:id="1"/>
      </w:r>
      <w:r w:rsidRPr="00D91898">
        <w:rPr>
          <w:rFonts w:ascii="Times New Roman" w:hAnsi="Times New Roman" w:cs="Times New Roman"/>
          <w:bCs/>
          <w:sz w:val="28"/>
          <w:szCs w:val="28"/>
        </w:rPr>
        <w:t>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4. Обязательное требование формируется из объекта и содержания, при этом указанные части обязательного требования могут содержаться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различных структурных единицах НПА.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4.1. Содержание обязательного требования может выражаться как: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4.1.1. запрет («запрещается», «не должен» и т.д.);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4.1.2. обязанность («обязан», «должен», «необходимо», «наличие», «обеспечить», «соблюдение» и т.д.); 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4.1.3. ограничение («должно быть», «не допускается» и т.д.);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4.1.4. условие («допускается, в случае если», «при наличии» и т.д.). 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4.2. Объектом обязательного требования могут являться: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4.2.1. субъекты, к которым предъявляются требования – физические лица (в том числе индивидуальные предприниматели) и/или юридические лица.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При этом требования к субъектам, как правило, выражаются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в характеристиках юридических и физических лиц, влияющих на их правовой статус (возраст, наличие стажа, продолжительность работы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сфере, наличие специальных разрешений и лицензий или аккредитации, наличие специального образования или подготовки, отсутствие привлечения к юридической ответственности), а также в действии (бездействии), которые должны или не должны осуществлять юридические и физические лица;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4.2.2. предметы, к которым предъявляются требования и которые раскрываются через установление требований к производственным объектам, зданиям, помещениям, сооружениям, установкам, территориям, оборудованию, устройствам, предметам, материалам, транспортным средствам, перевозимым ими грузам, объектам охраны окружающей среды, отходам производства и потребления, иным подобным объектам, результатам деятельности граждан и организаций, в том числе продукции (товарам), работам и услугам, а также культурным ценностям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и результатам интеллектуальной деятельности.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При этом требования к объектам, как правило, выражаются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требованиях к различным параметрам (длина, ширина, высота, площадь), иным характеристикам объектов (вид транспортного средства, категории отходов, категория земли, разрешенное использование объектов и т.д.);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4.2.3. процессы, к которым предъявляются требования (проектирование, испытания, производство, ведение, организация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и выполнение работ, хранение, реализация, эксплуатация, утилизация, транспортировка и т.д.).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При этом требования к процессам, как правило, устанавливаются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к характеристикам процессов (например, срок, место осуществления процесса) или условиям осуществления этих процессов (условия, средства </w:t>
      </w:r>
      <w:r w:rsidRPr="00D91898">
        <w:rPr>
          <w:rFonts w:ascii="Times New Roman" w:hAnsi="Times New Roman" w:cs="Times New Roman"/>
          <w:bCs/>
          <w:sz w:val="28"/>
          <w:szCs w:val="28"/>
        </w:rPr>
        <w:lastRenderedPageBreak/>
        <w:t>их реализации), а также осуществления работ посредством информационных систем.</w:t>
      </w:r>
    </w:p>
    <w:p w:rsidR="00BA69BC" w:rsidRPr="00D91898" w:rsidRDefault="00BA69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3325A7">
      <w:pPr>
        <w:shd w:val="clear" w:color="auto" w:fill="FFFFFF"/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  <w:lang w:val="en-US"/>
        </w:rPr>
        <w:t>III</w:t>
      </w:r>
      <w:r w:rsidR="004D2530" w:rsidRPr="00D91898">
        <w:rPr>
          <w:rFonts w:ascii="Times New Roman" w:hAnsi="Times New Roman" w:cs="Times New Roman"/>
          <w:bCs/>
          <w:sz w:val="28"/>
          <w:szCs w:val="28"/>
        </w:rPr>
        <w:t>.</w:t>
      </w:r>
      <w:r w:rsidRPr="00D91898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="004D2530" w:rsidRPr="00D91898">
        <w:rPr>
          <w:rFonts w:ascii="Times New Roman" w:hAnsi="Times New Roman" w:cs="Times New Roman"/>
          <w:bCs/>
          <w:sz w:val="28"/>
          <w:szCs w:val="28"/>
        </w:rPr>
        <w:t>Примеры анализа структурных единиц НПА с целью выделения обязательных требований</w:t>
      </w:r>
    </w:p>
    <w:p w:rsidR="00BA69BC" w:rsidRPr="00D91898" w:rsidRDefault="00BA69B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5. Формулировка обязательного требования должна быть выражена повествовательным предложением, с использованием слов, указывающих на обязательный характер требования (например, модальные глаголы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– это небольшая группа особых глаголов, которые не выражают действие или состояние, а отражают отношение говорящего к действию (способен, должен, обязан, необходимо (сделать что-либо, быть где-либо)).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При этом обращается внимание, что в большинстве случаев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предложения со словами «допускается», «может», описывает возможный вариант соблюдения другого требования, но само требованием не является. 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6. На основе формулировки обязательного требования должна быть возможность сформулировать закрытый контрольный вопрос (с ответом «да» или «нет»).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на основе формулировки обязательного требования «стол должен быть деревянным» можно сформулировать закрытый контрольный вопрос «Стол деревянный?». Положительный ответ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на закрытый контрольный вопрос свидетельствует о соблюдении обязательного требования, отрицательный – о его несоблюдении.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7. При выделении обязательного требования необходимо стремиться к упрощению его формулировки с сохранением смысла, заложенного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НПА. В случае если обязательное требование изложено в качестве неделимой единицы и упрощение его формулировки невозможно без потери смысла, необходимо цитировать структурную единицу НПА.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текст структурной единицы НПА: «Описание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и обоснование положений, касающихся проведения мероприятий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по обеспечению пожарной безопасности территорий поселений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и городских округов, должны входить в пояснительные записки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к материалам по обоснованию проектов планировки территорий поселений и городских округов».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Выделенное обязательное требование совпадает с текстом структурной единицы НПА: «Описание и обоснование положений, касающихся проведения мероприятий по обеспечению пожарной безопасности территорий поселений и городских округов, должны входить в пояснительные записки к материалам по обоснованию проектов планировки территорий поселений и городских округов».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8. Формулировка обязательного требования должна быть понятной без контекста и не может содержать отсылочную норму. В случае если структурная единица НПА, содержащая обязательное требование, имеет отсылку к другой норме, в формулировке обязательного требования должно быть использовано содержание из указанной нормы. Отсылки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виде «настоящего пункта», «настоящего Порядка», «настоящих Правил» не допускается.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9. Формулировка обязательного требования не может содержать бланкетную норму (норма, предоставляющая органам власти право устанавливать правила, порядки и т.д.). В случае если структурная единица НПА содержит обязательное требование в виде бланкетной нормы,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 xml:space="preserve">то такое обязательное требование не вносится в Реестр. Внесению в Реестр подлежат обязательные требования, содержащиеся в НПА, на которые идет отсылка в бланкетных нормах. При этом в качестве атрибутов указанных обязательных требований необходимо указывать не только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те НПА, в которых они непосредственно содержатся, но и НПА, содержащие бланкетные нормы.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Бланкетной считается статья, отсылающая не к конкретной статье,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а к целому виду других нормативных актов.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текст структурной единицы НПА: «Высота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стола должна соответствовать требованиям, установленным Правительством Ханты-Мансийского автономного округа – Югры».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Формулировка обязательного требования: «Высота стола должна быть не менее 60 см».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При этом в качестве атрибутов такого обязательного требования необходимо указать НПА, в котором содержится бланкетная норма, все НПА, непосредственно содержащие такое обязательное требование.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10. В случае если структурная единица НПА содержит в себе перечисление характеристик, требований, особенностей к субъекту,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к которому предъявляются требования, то в Реестре такая структурная единица разделяется на соответствующее количество обязательных требований.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норма «стол должен быть деревянным, иметь 4 ножки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и высоту не менее 60 см» разбивается на три обязательных требования: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1) стол должен быть деревянным; 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2) у стола должно быть 4 ножки;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3) стол должен быть не менее 60 см в высоту.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11. Если отдельные НПА содержат обязательные требования, представленные в табличном формате, необходимо выделить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их из таблицы и изложить в виде предложений.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противопожарные расстояния от зданий и сооружений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до складов горючих жидкостей:</w:t>
      </w:r>
    </w:p>
    <w:tbl>
      <w:tblPr>
        <w:tblW w:w="897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2"/>
        <w:gridCol w:w="1951"/>
        <w:gridCol w:w="1580"/>
        <w:gridCol w:w="2507"/>
      </w:tblGrid>
      <w:tr w:rsidR="00BA69BC" w:rsidRPr="00D91898">
        <w:trPr>
          <w:trHeight w:val="411"/>
          <w:jc w:val="center"/>
        </w:trPr>
        <w:tc>
          <w:tcPr>
            <w:tcW w:w="0" w:type="auto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Вместимость склада, кубические метры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Противопожарные расстояния при степени огнестойкости зданий и сооружений, метры</w:t>
            </w:r>
          </w:p>
        </w:tc>
      </w:tr>
      <w:tr w:rsidR="00BA69BC" w:rsidRPr="00D91898">
        <w:trPr>
          <w:trHeight w:val="259"/>
          <w:jc w:val="center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BA69BC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I, 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III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IV, V</w:t>
            </w:r>
          </w:p>
        </w:tc>
      </w:tr>
      <w:tr w:rsidR="00BA69BC" w:rsidRPr="00D9189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Не более 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25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30</w:t>
            </w:r>
          </w:p>
        </w:tc>
      </w:tr>
      <w:tr w:rsidR="00BA69BC" w:rsidRPr="00D9189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Более 100, но не более 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35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40</w:t>
            </w:r>
          </w:p>
        </w:tc>
      </w:tr>
      <w:tr w:rsidR="00BA69BC" w:rsidRPr="00D91898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Более 800, но не более 2000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45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BA69BC" w:rsidRPr="00D91898" w:rsidRDefault="004D253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</w:rPr>
            </w:pPr>
            <w:r w:rsidRPr="00D91898">
              <w:rPr>
                <w:rFonts w:ascii="Times New Roman" w:hAnsi="Times New Roman" w:cs="Times New Roman"/>
                <w:i/>
              </w:rPr>
              <w:t>50</w:t>
            </w:r>
          </w:p>
        </w:tc>
      </w:tr>
    </w:tbl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В данном случае, при заполнении необходимо выделить обязательные требования из табличного формата. Таблица содержит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15 обязательных требований следующего вида: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«Противопожарное расстояние при первой степени огнестойкости зданий и сооружений до складов горючих жидкостей вместимостью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не более 100 кубических метров должно составлять 20 метров.»;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«Противопожарное расстояние при первой степени огнестойкости зданий и сооружений до складов горючих жидкостей вместимостью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более 100, но не более 800 кубических метров должно составлять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30 метров.» и т.д.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12. Обязательное требование должно восприниматься как неделимая единица.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выделение обязательных требований в отдельных структурных единицах Федерального закона от 22 июля 2008 года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№ 123-ФЗ «Технический регламент о требованиях пожарной безопасности».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Текст структурной единицы НПА: «Кабельные линии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и электропроводка систем противопожарной защиты, средств обеспечения деятельности подразделений пожарной охраны, систем обнаружения пожара, оповещения и управления эвакуацией людей при пожаре, аварийного освещения на путях эвакуации, аварийной вентиляции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и противодымной защиты, автоматического пожаротушения, внутреннего противопожарного водопровода, лифтов для транспортировки подразделений пожарной охраны в зданиях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и сооружениях должны сохранять работоспособность в условиях пожара в течение времени, необходимого для выполнения их функций и эвакуации людей в безопасную зону».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В данном примере требуется разбивка нормы на 20 обязательных требований: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1) кабельные линии систем противопожарной защиты должны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2) кабельные линии средств обеспечения деятельности подразделений пожарной охраны должны сохранять работоспособность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в условиях пожара в течение времени, необходимого для выполнения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3) кабельные линии систем обнаружения пожара должны сохранять работоспособность в условиях пожара в течение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4) кабельные линии оповещения и управления эвакуацией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при пожаре должны сохранять работоспособность условиях пожара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5) кабельные линии аварийного освещения на путях эвакуации должны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6) кабельные линии аварийной вентиляции должны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7) кабельные линии противодымной защиты должны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8) кабельные линии автоматического пожаротушения должны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9) кабельные линии внутреннего пожарного водопровода должны сохранять работоспособность в условиях пожара в течение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10) кабельные линии лифтов для транспортировки подразделений пожарной охраны в зданиях и сооружениях должны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11) электропроводка систем противопожарной защиты должна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12) электропроводка средств обеспечения деятельности подразделений пожарной охраны должна сохранять работоспособность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в условиях пожара в течение времени, необходимого для выполнения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13) электропроводка систем обнаружения пожара должна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14) электропроводка оповещения и управления эвакуацией людей при пожаре должна сохранять работоспособность в условиях пожара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15) электропроводка аварийного освещения на путях эвакуации должна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16) электропроводка аварийной вентиляции должна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17) электропроводка противодымной защиты должна сохранять работоспособность в условиях пожара в течение времени, необходимого для выполнения их функций и эвакуации людей 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18) электропроводка автоматического пожаротушения должна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19) электропроводка внутреннего пожарного водопровода должна сохранять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зову;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>20) электропроводка лифтов для транспортировки подразделений пожарной охраны в зданиях и сооружениях должна сохранять работоспособность в условиях пожара в течение времени, необходимого для выполнения их функций и эвакуации людей в безопасную зону.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Данные формулировки также могут использоваться в качестве закрытого вопроса: «Кабельные линии систем противопожарной защиты сохраняют работоспособность в условиях пожара в течение времени, необходимого для выполнения их функций и эвакуации людей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в безопасную зону?». Если ответ на вопрос «да», обязательное требование считается соблюденным, если «нет» – не соблюденным.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>13. Обязательные требования, предусматривающие вариативность реализации, не должны разбиваться.</w:t>
      </w:r>
    </w:p>
    <w:p w:rsidR="00BA69BC" w:rsidRPr="00D91898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i/>
          <w:sz w:val="28"/>
          <w:szCs w:val="28"/>
        </w:rPr>
      </w:pPr>
      <w:r w:rsidRPr="00D91898">
        <w:rPr>
          <w:rFonts w:ascii="Times New Roman" w:hAnsi="Times New Roman" w:cs="Times New Roman"/>
          <w:bCs/>
          <w:i/>
          <w:sz w:val="28"/>
          <w:szCs w:val="28"/>
        </w:rPr>
        <w:t xml:space="preserve">Например, «Опасные производственные объекты, на которых производятся, используются, перерабатываются, образуются, хранятся, транспортируются, уничтожаются пожаровзрывоопасные вещества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 xml:space="preserve">и материалы, для которых обязательна разработка декларации </w:t>
      </w:r>
      <w:r w:rsidRPr="00D91898">
        <w:rPr>
          <w:rFonts w:ascii="Times New Roman" w:hAnsi="Times New Roman" w:cs="Times New Roman"/>
          <w:bCs/>
          <w:i/>
          <w:sz w:val="28"/>
          <w:szCs w:val="28"/>
        </w:rPr>
        <w:br/>
        <w:t>о промышленной безопасности (далее – взрывопожароопасные объекты), должны размещаться за границами поселений и городских округов, а если это невозможно или нецелесообразно, то должны быть разработаны меры по защите людей, зданий и сооружений, находящихся за пределами территории взрывопожароопасного объекта, от воздействия опасных факторов пожара и (или) взрыва». Указанная формулировка в полном объеме будет формулировкой обязательного требования.</w:t>
      </w:r>
    </w:p>
    <w:p w:rsidR="00BA69BC" w:rsidRDefault="004D2530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91898">
        <w:rPr>
          <w:rFonts w:ascii="Times New Roman" w:hAnsi="Times New Roman" w:cs="Times New Roman"/>
          <w:bCs/>
          <w:sz w:val="28"/>
          <w:szCs w:val="28"/>
        </w:rPr>
        <w:t xml:space="preserve">14. В случае если одинаковые или схожие по содержанию обязательные требования содержатся в разных структурных единицах НПА или в разных НПА, указанные обязательные требования необходимо вносить в Реестр несколько раз в виде отдельных обязательных требований. При этом в отношении каждого обязательного требования </w:t>
      </w:r>
      <w:r w:rsidRPr="00D91898">
        <w:rPr>
          <w:rFonts w:ascii="Times New Roman" w:hAnsi="Times New Roman" w:cs="Times New Roman"/>
          <w:bCs/>
          <w:sz w:val="28"/>
          <w:szCs w:val="28"/>
        </w:rPr>
        <w:br/>
        <w:t>в качестве соответствующих атрибутов указываются все структурные единицы НПА или НПА, содержащие такое обязательное требование.</w:t>
      </w:r>
    </w:p>
    <w:sectPr w:rsidR="00BA69BC">
      <w:headerReference w:type="default" r:id="rId9"/>
      <w:pgSz w:w="11906" w:h="16838"/>
      <w:pgMar w:top="1418" w:right="1276" w:bottom="1134" w:left="1559" w:header="680" w:footer="709" w:gutter="0"/>
      <w:pgNumType w:start="1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06A49536" w16cex:dateUtc="2023-05-19T11:28:32Z"/>
  <w16cex:commentExtensible w16cex:durableId="3D53E6E2" w16cex:dateUtc="2023-05-19T11:28:10Z"/>
  <w16cex:commentExtensible w16cex:durableId="209C5A8F" w16cex:dateUtc="2023-05-19T11:24:10Z"/>
  <w16cex:commentExtensible w16cex:durableId="6C8381CE" w16cex:dateUtc="2023-05-19T11:21:58Z"/>
  <w16cex:commentExtensible w16cex:durableId="0033ED92" w16cex:dateUtc="2023-05-19T11:17:32Z"/>
  <w16cex:commentExtensible w16cex:durableId="22E18E5B" w16cex:dateUtc="2023-05-19T11:16:28Z"/>
  <w16cex:commentExtensible w16cex:durableId="6BD8A1A4" w16cex:dateUtc="2023-05-19T11:15:01Z"/>
  <w16cex:commentExtensible w16cex:durableId="64D4A0C4" w16cex:dateUtc="2023-05-19T11:14:33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00000001" w16cid:durableId="06A49536"/>
  <w16cid:commentId w16cid:paraId="00000002" w16cid:durableId="3D53E6E2"/>
  <w16cid:commentId w16cid:paraId="00000003" w16cid:durableId="209C5A8F"/>
  <w16cid:commentId w16cid:paraId="00000004" w16cid:durableId="6C8381CE"/>
  <w16cid:commentId w16cid:paraId="00000005" w16cid:durableId="0033ED92"/>
  <w16cid:commentId w16cid:paraId="00000006" w16cid:durableId="22E18E5B"/>
  <w16cid:commentId w16cid:paraId="00000007" w16cid:durableId="6BD8A1A4"/>
  <w16cid:commentId w16cid:paraId="00000008" w16cid:durableId="64D4A0C4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49B4" w:rsidRDefault="00BD49B4">
      <w:pPr>
        <w:spacing w:after="0" w:line="240" w:lineRule="auto"/>
      </w:pPr>
      <w:r>
        <w:separator/>
      </w:r>
    </w:p>
  </w:endnote>
  <w:endnote w:type="continuationSeparator" w:id="0">
    <w:p w:rsidR="00BD49B4" w:rsidRDefault="00BD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49B4" w:rsidRDefault="00BD49B4">
      <w:pPr>
        <w:spacing w:after="0" w:line="240" w:lineRule="auto"/>
      </w:pPr>
      <w:r>
        <w:separator/>
      </w:r>
    </w:p>
  </w:footnote>
  <w:footnote w:type="continuationSeparator" w:id="0">
    <w:p w:rsidR="00BD49B4" w:rsidRDefault="00BD49B4">
      <w:pPr>
        <w:spacing w:after="0" w:line="240" w:lineRule="auto"/>
      </w:pPr>
      <w:r>
        <w:continuationSeparator/>
      </w:r>
    </w:p>
  </w:footnote>
  <w:footnote w:id="1">
    <w:p w:rsidR="00BA69BC" w:rsidRDefault="004D2530">
      <w:pPr>
        <w:pStyle w:val="aff1"/>
        <w:jc w:val="both"/>
        <w:rPr>
          <w:rFonts w:ascii="Times New Roman" w:hAnsi="Times New Roman" w:cs="Times New Roman"/>
        </w:rPr>
      </w:pPr>
      <w:r>
        <w:rPr>
          <w:rStyle w:val="aff3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> под структурной единицей НПА понимается структурный элемент, предусмотренный законодательством либо обусловленный особенностями оформления конкретного вида правовых актов (например, раздел, глава, статья, пункт, части, пункты статей или подпункты (абзацы) пунктов)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69BC" w:rsidRDefault="00BD49B4">
    <w:pPr>
      <w:pStyle w:val="af2"/>
      <w:jc w:val="center"/>
      <w:rPr>
        <w:rFonts w:ascii="Times New Roman" w:hAnsi="Times New Roman" w:cs="Times New Roman"/>
        <w:sz w:val="24"/>
        <w:szCs w:val="24"/>
      </w:rPr>
    </w:pPr>
    <w:sdt>
      <w:sdtPr>
        <w:rPr>
          <w:rFonts w:ascii="Times New Roman" w:hAnsi="Times New Roman" w:cs="Times New Roman"/>
        </w:rPr>
        <w:id w:val="81576291"/>
        <w:docPartObj>
          <w:docPartGallery w:val="Page Numbers (Top of Page)"/>
          <w:docPartUnique/>
        </w:docPartObj>
      </w:sdtPr>
      <w:sdtEndPr/>
      <w:sdtContent>
        <w:r w:rsidR="004D253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D253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="004D253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C3994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4D2530">
          <w:rPr>
            <w:rFonts w:ascii="Times New Roman" w:hAnsi="Times New Roman" w:cs="Times New Roman"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A0297"/>
    <w:multiLevelType w:val="hybridMultilevel"/>
    <w:tmpl w:val="24CC08D2"/>
    <w:lvl w:ilvl="0" w:tplc="D5A2587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8A7E744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E1A06F5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CF14CC0E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EA381D5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4B8ACC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E0965E9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5D04C776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A2CA913E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5FE1172"/>
    <w:multiLevelType w:val="hybridMultilevel"/>
    <w:tmpl w:val="D6724B84"/>
    <w:lvl w:ilvl="0" w:tplc="7A3E0E5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ADAABB0">
      <w:start w:val="1"/>
      <w:numFmt w:val="lowerLetter"/>
      <w:lvlText w:val="%2."/>
      <w:lvlJc w:val="left"/>
      <w:pPr>
        <w:ind w:left="1931" w:hanging="360"/>
      </w:pPr>
    </w:lvl>
    <w:lvl w:ilvl="2" w:tplc="F494743C">
      <w:start w:val="1"/>
      <w:numFmt w:val="lowerRoman"/>
      <w:lvlText w:val="%3."/>
      <w:lvlJc w:val="right"/>
      <w:pPr>
        <w:ind w:left="2651" w:hanging="180"/>
      </w:pPr>
    </w:lvl>
    <w:lvl w:ilvl="3" w:tplc="C3B0CF62">
      <w:start w:val="1"/>
      <w:numFmt w:val="decimal"/>
      <w:lvlText w:val="%4."/>
      <w:lvlJc w:val="left"/>
      <w:pPr>
        <w:ind w:left="3371" w:hanging="360"/>
      </w:pPr>
    </w:lvl>
    <w:lvl w:ilvl="4" w:tplc="7FBEFF72">
      <w:start w:val="1"/>
      <w:numFmt w:val="lowerLetter"/>
      <w:lvlText w:val="%5."/>
      <w:lvlJc w:val="left"/>
      <w:pPr>
        <w:ind w:left="4091" w:hanging="360"/>
      </w:pPr>
    </w:lvl>
    <w:lvl w:ilvl="5" w:tplc="703E82C4">
      <w:start w:val="1"/>
      <w:numFmt w:val="lowerRoman"/>
      <w:lvlText w:val="%6."/>
      <w:lvlJc w:val="right"/>
      <w:pPr>
        <w:ind w:left="4811" w:hanging="180"/>
      </w:pPr>
    </w:lvl>
    <w:lvl w:ilvl="6" w:tplc="FE54A774">
      <w:start w:val="1"/>
      <w:numFmt w:val="decimal"/>
      <w:lvlText w:val="%7."/>
      <w:lvlJc w:val="left"/>
      <w:pPr>
        <w:ind w:left="5531" w:hanging="360"/>
      </w:pPr>
    </w:lvl>
    <w:lvl w:ilvl="7" w:tplc="BFD01AE6">
      <w:start w:val="1"/>
      <w:numFmt w:val="lowerLetter"/>
      <w:lvlText w:val="%8."/>
      <w:lvlJc w:val="left"/>
      <w:pPr>
        <w:ind w:left="6251" w:hanging="360"/>
      </w:pPr>
    </w:lvl>
    <w:lvl w:ilvl="8" w:tplc="40765BB6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FAD11AF"/>
    <w:multiLevelType w:val="hybridMultilevel"/>
    <w:tmpl w:val="3B50F42E"/>
    <w:lvl w:ilvl="0" w:tplc="20A83F94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8AFE92EA">
      <w:start w:val="1"/>
      <w:numFmt w:val="lowerLetter"/>
      <w:lvlText w:val="%2."/>
      <w:lvlJc w:val="left"/>
      <w:pPr>
        <w:ind w:left="1440" w:hanging="360"/>
      </w:pPr>
    </w:lvl>
    <w:lvl w:ilvl="2" w:tplc="A5A06794">
      <w:start w:val="1"/>
      <w:numFmt w:val="lowerRoman"/>
      <w:lvlText w:val="%3."/>
      <w:lvlJc w:val="right"/>
      <w:pPr>
        <w:ind w:left="2160" w:hanging="180"/>
      </w:pPr>
    </w:lvl>
    <w:lvl w:ilvl="3" w:tplc="225431EE">
      <w:start w:val="1"/>
      <w:numFmt w:val="decimal"/>
      <w:lvlText w:val="%4."/>
      <w:lvlJc w:val="left"/>
      <w:pPr>
        <w:ind w:left="2880" w:hanging="360"/>
      </w:pPr>
    </w:lvl>
    <w:lvl w:ilvl="4" w:tplc="07BCF48A">
      <w:start w:val="1"/>
      <w:numFmt w:val="lowerLetter"/>
      <w:lvlText w:val="%5."/>
      <w:lvlJc w:val="left"/>
      <w:pPr>
        <w:ind w:left="3600" w:hanging="360"/>
      </w:pPr>
    </w:lvl>
    <w:lvl w:ilvl="5" w:tplc="F2CE579A">
      <w:start w:val="1"/>
      <w:numFmt w:val="lowerRoman"/>
      <w:lvlText w:val="%6."/>
      <w:lvlJc w:val="right"/>
      <w:pPr>
        <w:ind w:left="4320" w:hanging="180"/>
      </w:pPr>
    </w:lvl>
    <w:lvl w:ilvl="6" w:tplc="06F083F0">
      <w:start w:val="1"/>
      <w:numFmt w:val="decimal"/>
      <w:lvlText w:val="%7."/>
      <w:lvlJc w:val="left"/>
      <w:pPr>
        <w:ind w:left="5040" w:hanging="360"/>
      </w:pPr>
    </w:lvl>
    <w:lvl w:ilvl="7" w:tplc="04048C7A">
      <w:start w:val="1"/>
      <w:numFmt w:val="lowerLetter"/>
      <w:lvlText w:val="%8."/>
      <w:lvlJc w:val="left"/>
      <w:pPr>
        <w:ind w:left="5760" w:hanging="360"/>
      </w:pPr>
    </w:lvl>
    <w:lvl w:ilvl="8" w:tplc="BC823DDA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FD0A78"/>
    <w:multiLevelType w:val="hybridMultilevel"/>
    <w:tmpl w:val="7AA47200"/>
    <w:lvl w:ilvl="0" w:tplc="D250F6D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D8000AD0">
      <w:start w:val="1"/>
      <w:numFmt w:val="lowerLetter"/>
      <w:lvlText w:val="%2."/>
      <w:lvlJc w:val="left"/>
      <w:pPr>
        <w:ind w:left="1788" w:hanging="360"/>
      </w:pPr>
    </w:lvl>
    <w:lvl w:ilvl="2" w:tplc="0E38FC54">
      <w:start w:val="1"/>
      <w:numFmt w:val="lowerRoman"/>
      <w:lvlText w:val="%3."/>
      <w:lvlJc w:val="right"/>
      <w:pPr>
        <w:ind w:left="2508" w:hanging="180"/>
      </w:pPr>
    </w:lvl>
    <w:lvl w:ilvl="3" w:tplc="D24A0304">
      <w:start w:val="1"/>
      <w:numFmt w:val="decimal"/>
      <w:lvlText w:val="%4."/>
      <w:lvlJc w:val="left"/>
      <w:pPr>
        <w:ind w:left="3228" w:hanging="360"/>
      </w:pPr>
    </w:lvl>
    <w:lvl w:ilvl="4" w:tplc="22883A6A">
      <w:start w:val="1"/>
      <w:numFmt w:val="lowerLetter"/>
      <w:lvlText w:val="%5."/>
      <w:lvlJc w:val="left"/>
      <w:pPr>
        <w:ind w:left="3948" w:hanging="360"/>
      </w:pPr>
    </w:lvl>
    <w:lvl w:ilvl="5" w:tplc="6E40F50C">
      <w:start w:val="1"/>
      <w:numFmt w:val="lowerRoman"/>
      <w:lvlText w:val="%6."/>
      <w:lvlJc w:val="right"/>
      <w:pPr>
        <w:ind w:left="4668" w:hanging="180"/>
      </w:pPr>
    </w:lvl>
    <w:lvl w:ilvl="6" w:tplc="6480ED40">
      <w:start w:val="1"/>
      <w:numFmt w:val="decimal"/>
      <w:lvlText w:val="%7."/>
      <w:lvlJc w:val="left"/>
      <w:pPr>
        <w:ind w:left="5388" w:hanging="360"/>
      </w:pPr>
    </w:lvl>
    <w:lvl w:ilvl="7" w:tplc="307A11F0">
      <w:start w:val="1"/>
      <w:numFmt w:val="lowerLetter"/>
      <w:lvlText w:val="%8."/>
      <w:lvlJc w:val="left"/>
      <w:pPr>
        <w:ind w:left="6108" w:hanging="360"/>
      </w:pPr>
    </w:lvl>
    <w:lvl w:ilvl="8" w:tplc="6950C392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69BC"/>
    <w:rsid w:val="000A686B"/>
    <w:rsid w:val="001804C8"/>
    <w:rsid w:val="003325A7"/>
    <w:rsid w:val="004A639D"/>
    <w:rsid w:val="004C3994"/>
    <w:rsid w:val="004D2530"/>
    <w:rsid w:val="005A0184"/>
    <w:rsid w:val="006C0BC0"/>
    <w:rsid w:val="008001E3"/>
    <w:rsid w:val="00822464"/>
    <w:rsid w:val="00AE592D"/>
    <w:rsid w:val="00BA69BC"/>
    <w:rsid w:val="00BD49B4"/>
    <w:rsid w:val="00D918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6">
    <w:name w:val="Body Text Indent"/>
    <w:basedOn w:val="a"/>
    <w:link w:val="af7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7">
    <w:name w:val="Основной текст с отступом Знак"/>
    <w:basedOn w:val="a0"/>
    <w:link w:val="af6"/>
    <w:rPr>
      <w:rFonts w:ascii="Century Gothic" w:eastAsia="Times New Roman" w:hAnsi="Century Gothic" w:cs="Times New Roman"/>
      <w:lang w:val="en-US"/>
    </w:rPr>
  </w:style>
  <w:style w:type="paragraph" w:styleId="af8">
    <w:name w:val="No Spacing"/>
    <w:uiPriority w:val="1"/>
    <w:qFormat/>
    <w:pPr>
      <w:spacing w:after="0" w:line="240" w:lineRule="auto"/>
    </w:pPr>
  </w:style>
  <w:style w:type="character" w:styleId="af9">
    <w:name w:val="Hyperlink"/>
    <w:rPr>
      <w:color w:val="0000FF"/>
      <w:u w:val="single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unhideWhenUsed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Pr>
      <w:vertAlign w:val="superscript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Pr>
      <w:sz w:val="18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b">
    <w:name w:val="Текст концевой сноски Знак"/>
    <w:link w:val="aa"/>
    <w:uiPriority w:val="99"/>
    <w:rPr>
      <w:sz w:val="20"/>
    </w:rPr>
  </w:style>
  <w:style w:type="character" w:styleId="ac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d">
    <w:name w:val="TOC Heading"/>
    <w:uiPriority w:val="39"/>
    <w:unhideWhenUsed/>
  </w:style>
  <w:style w:type="paragraph" w:styleId="ae">
    <w:name w:val="table of figures"/>
    <w:basedOn w:val="a"/>
    <w:next w:val="a"/>
    <w:uiPriority w:val="99"/>
    <w:unhideWhenUsed/>
    <w:pPr>
      <w:spacing w:after="0"/>
    </w:pPr>
  </w:style>
  <w:style w:type="paragraph" w:styleId="af">
    <w:name w:val="Balloon Text"/>
    <w:basedOn w:val="a"/>
    <w:link w:val="af0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Pr>
      <w:rFonts w:ascii="Tahoma" w:hAnsi="Tahoma" w:cs="Tahoma"/>
      <w:sz w:val="16"/>
      <w:szCs w:val="16"/>
    </w:rPr>
  </w:style>
  <w:style w:type="table" w:styleId="af1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0"/>
    <w:link w:val="af2"/>
    <w:uiPriority w:val="99"/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</w:style>
  <w:style w:type="paragraph" w:customStyle="1" w:styleId="ConsPlusTitle">
    <w:name w:val="ConsPlusTitle"/>
    <w:uiPriority w:val="99"/>
    <w:pPr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f6">
    <w:name w:val="Body Text Indent"/>
    <w:basedOn w:val="a"/>
    <w:link w:val="af7"/>
    <w:pPr>
      <w:spacing w:after="120"/>
      <w:ind w:left="283"/>
    </w:pPr>
    <w:rPr>
      <w:rFonts w:ascii="Century Gothic" w:eastAsia="Times New Roman" w:hAnsi="Century Gothic" w:cs="Times New Roman"/>
      <w:lang w:val="en-US"/>
    </w:rPr>
  </w:style>
  <w:style w:type="character" w:customStyle="1" w:styleId="af7">
    <w:name w:val="Основной текст с отступом Знак"/>
    <w:basedOn w:val="a0"/>
    <w:link w:val="af6"/>
    <w:rPr>
      <w:rFonts w:ascii="Century Gothic" w:eastAsia="Times New Roman" w:hAnsi="Century Gothic" w:cs="Times New Roman"/>
      <w:lang w:val="en-US"/>
    </w:rPr>
  </w:style>
  <w:style w:type="paragraph" w:styleId="af8">
    <w:name w:val="No Spacing"/>
    <w:uiPriority w:val="1"/>
    <w:qFormat/>
    <w:pPr>
      <w:spacing w:after="0" w:line="240" w:lineRule="auto"/>
    </w:pPr>
  </w:style>
  <w:style w:type="character" w:styleId="af9">
    <w:name w:val="Hyperlink"/>
    <w:rPr>
      <w:color w:val="0000FF"/>
      <w:u w:val="single"/>
    </w:r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unhideWhenUsed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footnote text"/>
    <w:basedOn w:val="a"/>
    <w:link w:val="aff2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f2">
    <w:name w:val="Текст сноски Знак"/>
    <w:basedOn w:val="a0"/>
    <w:link w:val="aff1"/>
    <w:uiPriority w:val="99"/>
    <w:semiHidden/>
    <w:rPr>
      <w:sz w:val="20"/>
      <w:szCs w:val="20"/>
    </w:rPr>
  </w:style>
  <w:style w:type="character" w:styleId="aff3">
    <w:name w:val="footnote reference"/>
    <w:basedOn w:val="a0"/>
    <w:uiPriority w:val="99"/>
    <w:semiHidden/>
    <w:unhideWhenUsed/>
    <w:rPr>
      <w:vertAlign w:val="superscript"/>
    </w:rPr>
  </w:style>
  <w:style w:type="paragraph" w:styleId="aff4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8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724687-FA67-40E0-A937-C2574ED2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2498</Words>
  <Characters>14240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Салихова Мария Васильевна</dc:creator>
  <cp:lastModifiedBy>Салихова Мария Васильевна</cp:lastModifiedBy>
  <cp:revision>2</cp:revision>
  <dcterms:created xsi:type="dcterms:W3CDTF">2024-05-29T09:34:00Z</dcterms:created>
  <dcterms:modified xsi:type="dcterms:W3CDTF">2024-05-29T09:34:00Z</dcterms:modified>
</cp:coreProperties>
</file>