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C6661A" w:rsidP="002C0971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69"/>
        <w:gridCol w:w="5528"/>
      </w:tblGrid>
      <w:tr w:rsidR="002C0971" w:rsidRPr="002C0971" w:rsidTr="00A3486F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6661A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58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Детские дошкольные учреждения, общеобразовательные и специализированные школы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Социальные объекты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56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Поселок городского типа Березово,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.Б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ратьев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Гурьяновых, 15 «а»             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86:05:0310106:189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2,8443</w:t>
            </w:r>
          </w:p>
        </w:tc>
      </w:tr>
      <w:tr w:rsidR="002C0971" w:rsidRPr="002C0971" w:rsidTr="00A3486F">
        <w:trPr>
          <w:trHeight w:hRule="exact" w:val="33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</w:tc>
      </w:tr>
      <w:tr w:rsidR="002C0971" w:rsidRPr="002C0971" w:rsidTr="00A3486F">
        <w:trPr>
          <w:trHeight w:hRule="exact" w:val="28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Расчетная нагрузка 318,56 кВт. Расстояние до ближайшей точки подключения - 0,05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Газопровод d=57 мм, давление 0,03 кгс/см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.Расстояние до ближайшей точки подключения - 3.67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Водоснабжение предусматривается централизованно. Общий расход воды 31,50 м3/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суткиРасстояние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тепловая нагрузка в точке подключения - 0,894 Гкал/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час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- 0.2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Общий объем стоков 31,5 м3/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сутки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- 0.2 км.</w:t>
            </w:r>
          </w:p>
        </w:tc>
      </w:tr>
      <w:tr w:rsidR="002C0971" w:rsidRPr="002C0971" w:rsidTr="00A3486F">
        <w:trPr>
          <w:trHeight w:hRule="exact" w:val="170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500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(до 2 Мбит/с). Мобильная  связь  операторов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: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Теле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МТС.</w:t>
            </w:r>
          </w:p>
        </w:tc>
      </w:tr>
      <w:tr w:rsidR="002C0971" w:rsidRPr="002C0971" w:rsidTr="00A3486F">
        <w:trPr>
          <w:trHeight w:hRule="exact" w:val="32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Ориентировочно 20 м. до ул. Братьев Гурьяновых, 5 категория, выполненная в песчано гравийном исполнении удовлетворительного качества.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Грузовой причал МУП "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имеет причальную стенку Оборудование для 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расстояние до объекта 8,3 км. По дорогам с асфальтовым покрытием 5 категории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38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Для жилых домов, выходящих на магистральные улицы, количество жилых помещений не более 10% площади первого этажа дома.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Коэффициент использования территории для жилых кварталов не более 1,5 для каждого земельного участка.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3. Нормативные параметры земельных участков под объекты торговли, бытового обслуживания и другие устанавливаются на основании СНиП 2.07.01-89. Действующие параметры земельных участков для размещения рассматриваемых объектов на территории поселений определяются на основании утвержденных генеральных планов и проектов планировки территорий поселения.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C6413E"/>
    <w:rsid w:val="00C6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2018-04-24T09:27:00Z</dcterms:modified>
</cp:coreProperties>
</file>