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4F" w:rsidRDefault="006327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74F" w:rsidRDefault="0063274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27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74F" w:rsidRDefault="0063274F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74F" w:rsidRDefault="0063274F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63274F" w:rsidRDefault="00632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jc w:val="center"/>
      </w:pPr>
      <w:r>
        <w:t>ХАНТЫ-МАНСИЙСКИЙ АВТОНОМНЫЙ ОКРУГ - ЮГРА</w:t>
      </w:r>
    </w:p>
    <w:p w:rsidR="0063274F" w:rsidRDefault="0063274F">
      <w:pPr>
        <w:pStyle w:val="ConsPlusTitle"/>
        <w:jc w:val="center"/>
      </w:pPr>
    </w:p>
    <w:p w:rsidR="0063274F" w:rsidRDefault="0063274F">
      <w:pPr>
        <w:pStyle w:val="ConsPlusTitle"/>
        <w:jc w:val="center"/>
      </w:pPr>
      <w:r>
        <w:t>ЗАКОН</w:t>
      </w:r>
    </w:p>
    <w:p w:rsidR="0063274F" w:rsidRDefault="0063274F">
      <w:pPr>
        <w:pStyle w:val="ConsPlusTitle"/>
        <w:jc w:val="center"/>
      </w:pPr>
    </w:p>
    <w:p w:rsidR="0063274F" w:rsidRDefault="0063274F">
      <w:pPr>
        <w:pStyle w:val="ConsPlusTitle"/>
        <w:jc w:val="center"/>
      </w:pPr>
      <w:r>
        <w:t>ОБ ОТДЕЛЬНЫХ ВОПРОСАХ ОРГАНИЗАЦИИ ОЦЕНКИ РЕГУЛИРУЮЩЕГО</w:t>
      </w:r>
    </w:p>
    <w:p w:rsidR="0063274F" w:rsidRDefault="0063274F">
      <w:pPr>
        <w:pStyle w:val="ConsPlusTitle"/>
        <w:jc w:val="center"/>
      </w:pPr>
      <w:r>
        <w:t>ВОЗДЕЙСТВИЯ ПРОЕКТОВ НОРМАТИВНЫХ ПРАВОВЫХ АКТОВ, ЭКСПЕРТИЗЫ</w:t>
      </w:r>
    </w:p>
    <w:p w:rsidR="0063274F" w:rsidRDefault="0063274F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63274F" w:rsidRDefault="0063274F">
      <w:pPr>
        <w:pStyle w:val="ConsPlusTitle"/>
        <w:jc w:val="center"/>
      </w:pPr>
      <w:r>
        <w:t>В ХАНТЫ-МАНСИЙСКОМ АВТОНОМНОМ ОКРУГЕ - ЮГРЕ И О ВНЕСЕНИИ</w:t>
      </w:r>
    </w:p>
    <w:p w:rsidR="0063274F" w:rsidRDefault="0063274F">
      <w:pPr>
        <w:pStyle w:val="ConsPlusTitle"/>
        <w:jc w:val="center"/>
      </w:pPr>
      <w:r>
        <w:t>ИЗМЕНЕНИЯ В СТАТЬЮ 33.2 ЗАКОНА ХАНТЫ-МАНСИЙСКОГО АВТОНОМНОГО</w:t>
      </w:r>
    </w:p>
    <w:p w:rsidR="0063274F" w:rsidRDefault="0063274F">
      <w:pPr>
        <w:pStyle w:val="ConsPlusTitle"/>
        <w:jc w:val="center"/>
      </w:pPr>
      <w:r>
        <w:t>ОКРУГА - ЮГРЫ "О НОРМАТИВНЫХ ПРАВОВЫХ АКТАХ</w:t>
      </w:r>
    </w:p>
    <w:p w:rsidR="0063274F" w:rsidRDefault="0063274F">
      <w:pPr>
        <w:pStyle w:val="ConsPlusTitle"/>
        <w:jc w:val="center"/>
      </w:pPr>
      <w:r>
        <w:t>ХАНТЫ-МАНСИЙСКОГО АВТОНОМНОГО ОКРУГА - ЮГРЫ"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jc w:val="center"/>
      </w:pPr>
      <w:r>
        <w:t>Принят Думой Ханты-Мансийского</w:t>
      </w:r>
    </w:p>
    <w:p w:rsidR="0063274F" w:rsidRDefault="0063274F">
      <w:pPr>
        <w:pStyle w:val="ConsPlusNormal"/>
        <w:jc w:val="center"/>
      </w:pPr>
      <w:r>
        <w:t>автономного округа - Югры 29 мая 2014 года</w:t>
      </w:r>
    </w:p>
    <w:p w:rsidR="0063274F" w:rsidRDefault="006327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7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74F" w:rsidRDefault="006327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74F" w:rsidRDefault="006327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25.06.2015 </w:t>
            </w:r>
            <w:hyperlink r:id="rId6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7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</w:p>
          <w:p w:rsidR="0063274F" w:rsidRDefault="006327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8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9" w:history="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0" w:history="1">
        <w:r>
          <w:rPr>
            <w:color w:val="0000FF"/>
          </w:rPr>
          <w:t>статьей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1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2" w:history="1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актов, экспертизы и оценки фактического воздействия нормативных правовых актов автономного округа, муниципальных нормативных правовых актов.</w:t>
      </w:r>
    </w:p>
    <w:p w:rsidR="0063274F" w:rsidRDefault="0063274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25.06.2015 N 63-оз)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>1. 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проектов законов автономного округа, регулирующих бюджетные правоотношения;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3) проектов нормативных правовых актов автономного округа: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63274F" w:rsidRDefault="0063274F">
      <w:pPr>
        <w:pStyle w:val="ConsPlusNormal"/>
        <w:jc w:val="both"/>
      </w:pPr>
      <w:r>
        <w:t xml:space="preserve">(пп. 3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27.06.2019 N 42-оз)</w:t>
      </w:r>
    </w:p>
    <w:p w:rsidR="0063274F" w:rsidRDefault="0063274F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1.1.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</w:t>
      </w:r>
    </w:p>
    <w:p w:rsidR="0063274F" w:rsidRDefault="0063274F">
      <w:pPr>
        <w:pStyle w:val="ConsPlusNormal"/>
        <w:jc w:val="both"/>
      </w:pPr>
      <w:r>
        <w:t xml:space="preserve">(п. 1.1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</w:t>
      </w:r>
      <w:r>
        <w:lastRenderedPageBreak/>
        <w:t>округа - Югры.</w:t>
      </w:r>
    </w:p>
    <w:p w:rsidR="0063274F" w:rsidRDefault="0063274F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государственной власти автономного округа, проводится в порядке, установленном Думой Ханты-Мансийского автономного округа - Югры.</w:t>
      </w:r>
    </w:p>
    <w:p w:rsidR="0063274F" w:rsidRDefault="0063274F">
      <w:pPr>
        <w:pStyle w:val="ConsPlusNormal"/>
        <w:jc w:val="both"/>
      </w:pPr>
      <w:r>
        <w:t xml:space="preserve">(в ред. Законов ХМАО - Югры от 29.10.2015 </w:t>
      </w:r>
      <w:hyperlink r:id="rId18" w:history="1">
        <w:r>
          <w:rPr>
            <w:color w:val="0000FF"/>
          </w:rPr>
          <w:t>N 109-оз</w:t>
        </w:r>
      </w:hyperlink>
      <w:r>
        <w:t xml:space="preserve">, от 31.03.2016 </w:t>
      </w:r>
      <w:hyperlink r:id="rId19" w:history="1">
        <w:r>
          <w:rPr>
            <w:color w:val="0000FF"/>
          </w:rPr>
          <w:t>N 28-оз</w:t>
        </w:r>
      </w:hyperlink>
      <w:r>
        <w:t>)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4. Нормативные правовые акты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bookmarkStart w:id="0" w:name="P45"/>
      <w:bookmarkEnd w:id="0"/>
      <w:r>
        <w:t>Статья 3. Оценка регулирующего воздействия проектов муниципальных нормативных правовых актов</w:t>
      </w:r>
    </w:p>
    <w:p w:rsidR="0063274F" w:rsidRDefault="0063274F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 xml:space="preserve">1. 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63274F" w:rsidRDefault="0063274F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3. Оценка регулирующего воздействия проектов муниципальных нормативных правовых </w:t>
      </w:r>
      <w:r>
        <w:lastRenderedPageBreak/>
        <w:t>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Березовский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3) Кондинский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4) Нефтеюганский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5) Нижневартовский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8) Сургутский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10) город Когалым;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11) город Лангепас;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12) город Мегион;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13) город Нефтеюганск;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15) город Нягань;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16) город Покачи;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17) город Пыть-Ях;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19) город Сургут;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20) город Урай;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21) город Югорск.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lastRenderedPageBreak/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63274F" w:rsidRDefault="0063274F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 xml:space="preserve">1. 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86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63274F" w:rsidRDefault="0063274F">
      <w:pPr>
        <w:pStyle w:val="ConsPlusNormal"/>
        <w:spacing w:before="220"/>
        <w:ind w:firstLine="540"/>
        <w:jc w:val="both"/>
      </w:pPr>
      <w:bookmarkStart w:id="2" w:name="P86"/>
      <w:bookmarkEnd w:id="2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Белоярский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Березовский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3) Кондинский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4) Нефтеюганский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5) Нижневартовский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6) Октябрьский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7) Советский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8) Сургутский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9) Ханты-Мансийский район;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10) город Когалым;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11) город Лангепас;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12) город Мегион;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lastRenderedPageBreak/>
        <w:t>13) город Нефтеюганск;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14) город Нижневартовск;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15) город Нягань;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16) город Покачи;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17) город Пыть-Ях;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18) город Радужный;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19) город Сургут;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20) город Урай;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21) город Югорск.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86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63274F" w:rsidRDefault="0063274F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ХМАО - Югры от 31.03.2016 N 28-оз)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</w:t>
      </w:r>
      <w:r>
        <w:lastRenderedPageBreak/>
        <w:t>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 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2. </w:t>
      </w:r>
      <w:hyperlink w:anchor="P45" w:history="1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>1) городского округа город Ханты-Мансийск - с 1 января 2015 года;</w:t>
      </w:r>
    </w:p>
    <w:p w:rsidR="0063274F" w:rsidRDefault="0063274F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jc w:val="right"/>
      </w:pPr>
      <w:r>
        <w:t>Губернатор</w:t>
      </w:r>
    </w:p>
    <w:p w:rsidR="0063274F" w:rsidRDefault="0063274F">
      <w:pPr>
        <w:pStyle w:val="ConsPlusNormal"/>
        <w:jc w:val="right"/>
      </w:pPr>
      <w:r>
        <w:t>Ханты-Мансийского</w:t>
      </w:r>
    </w:p>
    <w:p w:rsidR="0063274F" w:rsidRDefault="0063274F">
      <w:pPr>
        <w:pStyle w:val="ConsPlusNormal"/>
        <w:jc w:val="right"/>
      </w:pPr>
      <w:r>
        <w:t>автономного округа - Югры</w:t>
      </w:r>
    </w:p>
    <w:p w:rsidR="0063274F" w:rsidRDefault="0063274F">
      <w:pPr>
        <w:pStyle w:val="ConsPlusNormal"/>
        <w:jc w:val="right"/>
      </w:pPr>
      <w:r>
        <w:t>Н.В.КОМАРОВА</w:t>
      </w:r>
    </w:p>
    <w:p w:rsidR="0063274F" w:rsidRDefault="0063274F">
      <w:pPr>
        <w:pStyle w:val="ConsPlusNormal"/>
      </w:pPr>
      <w:r>
        <w:t>г. Ханты-Мансийск</w:t>
      </w:r>
    </w:p>
    <w:p w:rsidR="0063274F" w:rsidRDefault="0063274F">
      <w:pPr>
        <w:pStyle w:val="ConsPlusNormal"/>
        <w:spacing w:before="220"/>
      </w:pPr>
      <w:r>
        <w:t>29 мая 2014 года</w:t>
      </w:r>
    </w:p>
    <w:p w:rsidR="0063274F" w:rsidRDefault="0063274F">
      <w:pPr>
        <w:pStyle w:val="ConsPlusNormal"/>
        <w:spacing w:before="220"/>
      </w:pPr>
      <w:r>
        <w:lastRenderedPageBreak/>
        <w:t>N 42-оз</w:t>
      </w: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jc w:val="both"/>
      </w:pPr>
    </w:p>
    <w:p w:rsidR="0063274F" w:rsidRDefault="006327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DF7" w:rsidRDefault="00C24DF7">
      <w:bookmarkStart w:id="3" w:name="_GoBack"/>
      <w:bookmarkEnd w:id="3"/>
    </w:p>
    <w:sectPr w:rsidR="00C24DF7" w:rsidSect="005E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4F"/>
    <w:rsid w:val="0063274F"/>
    <w:rsid w:val="00C2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7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C7BADC51A4A3EB7C5BB7E8F3D0814000D062C25F1D5445B63984249DA2F48CB7A04FE7F40436A24844C437822E9D62BEE718F59E37500AD400A49E9x2M" TargetMode="External"/><Relationship Id="rId13" Type="http://schemas.openxmlformats.org/officeDocument/2006/relationships/hyperlink" Target="consultantplus://offline/ref=ACCC7BADC51A4A3EB7C5BB7E8F3D0814000D062C25F2D944576F984249DA2F48CB7A04FE7F40436A24844C437F22E9D62BEE718F59E37500AD400A49E9x2M" TargetMode="External"/><Relationship Id="rId18" Type="http://schemas.openxmlformats.org/officeDocument/2006/relationships/hyperlink" Target="consultantplus://offline/ref=ACCC7BADC51A4A3EB7C5BB7E8F3D0814000D062C25F1DD44556F984249DA2F48CB7A04FE7F40436A24844C467D22E9D62BEE718F59E37500AD400A49E9x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CC7BADC51A4A3EB7C5BB7E8F3D0814000D062C25F1D5445B63984249DA2F48CB7A04FE7F40436A24844C447C22E9D62BEE718F59E37500AD400A49E9x2M" TargetMode="External"/><Relationship Id="rId7" Type="http://schemas.openxmlformats.org/officeDocument/2006/relationships/hyperlink" Target="consultantplus://offline/ref=ACCC7BADC51A4A3EB7C5BB7E8F3D0814000D062C25F1DD44556F984249DA2F48CB7A04FE7F40436A24844C467D22E9D62BEE718F59E37500AD400A49E9x2M" TargetMode="External"/><Relationship Id="rId12" Type="http://schemas.openxmlformats.org/officeDocument/2006/relationships/hyperlink" Target="consultantplus://offline/ref=ACCC7BADC51A4A3EB7C5A57399515F1B0505582323F4D7160E3F9E15168A291D8B3A02A93B0C453F75C0194F7E2CA3866EA57E8D5DEFx4M" TargetMode="External"/><Relationship Id="rId17" Type="http://schemas.openxmlformats.org/officeDocument/2006/relationships/hyperlink" Target="consultantplus://offline/ref=ACCC7BADC51A4A3EB7C5BB7E8F3D0814000D062C25F1D5445B63984249DA2F48CB7A04FE7F40436A24844C407E22E9D62BEE718F59E37500AD400A49E9x2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CC7BADC51A4A3EB7C5BB7E8F3D0814000D062C25F1D5445B63984249DA2F48CB7A04FE7F40436A24844C407C22E9D62BEE718F59E37500AD400A49E9x2M" TargetMode="External"/><Relationship Id="rId20" Type="http://schemas.openxmlformats.org/officeDocument/2006/relationships/hyperlink" Target="consultantplus://offline/ref=ACCC7BADC51A4A3EB7C5BB7E8F3D0814000D062C25F1D5445B63984249DA2F48CB7A04FE7F40436A24844C407922E9D62BEE718F59E37500AD400A49E9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C7BADC51A4A3EB7C5BB7E8F3D0814000D062C25F2D944576F984249DA2F48CB7A04FE7F40436A24844C437C22E9D62BEE718F59E37500AD400A49E9x2M" TargetMode="External"/><Relationship Id="rId11" Type="http://schemas.openxmlformats.org/officeDocument/2006/relationships/hyperlink" Target="consultantplus://offline/ref=ACCC7BADC51A4A3EB7C5A57399515F1B0505582323F4D7160E3F9E15168A291D8B3A02A93B03453F75C0194F7E2CA3866EA57E8D5DEFx4M" TargetMode="External"/><Relationship Id="rId24" Type="http://schemas.openxmlformats.org/officeDocument/2006/relationships/hyperlink" Target="consultantplus://offline/ref=ACCC7BADC51A4A3EB7C5BB7E8F3D0814000D062C25F1D5445B63984249DA2F48CB7A04FE7F40436A24844C4B7822E9D62BEE718F59E37500AD400A49E9x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CC7BADC51A4A3EB7C5BB7E8F3D0814000D062C25F1D5445B63984249DA2F48CB7A04FE7F40436A24844C437A22E9D62BEE718F59E37500AD400A49E9x2M" TargetMode="External"/><Relationship Id="rId23" Type="http://schemas.openxmlformats.org/officeDocument/2006/relationships/hyperlink" Target="consultantplus://offline/ref=ACCC7BADC51A4A3EB7C5BB7E8F3D0814000D062C2DF0DC455060C5484183234ACC755BE978094F6B24804541777DECC33AB67E8842FC751FB1420BE4x1M" TargetMode="External"/><Relationship Id="rId10" Type="http://schemas.openxmlformats.org/officeDocument/2006/relationships/hyperlink" Target="consultantplus://offline/ref=ACCC7BADC51A4A3EB7C5A57399515F1B05055D2723F6D7160E3F9E15168A291D8B3A02A83504453F75C0194F7E2CA3866EA57E8D5DEFx4M" TargetMode="External"/><Relationship Id="rId19" Type="http://schemas.openxmlformats.org/officeDocument/2006/relationships/hyperlink" Target="consultantplus://offline/ref=ACCC7BADC51A4A3EB7C5BB7E8F3D0814000D062C25F1D5445B63984249DA2F48CB7A04FE7F40436A24844C407822E9D62BEE718F59E37500AD400A49E9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C7BADC51A4A3EB7C5BB7E8F3D0814000D062C25FAD842506E984249DA2F48CB7A04FE7F40436A24844C437D22E9D62BEE718F59E37500AD400A49E9x2M" TargetMode="External"/><Relationship Id="rId14" Type="http://schemas.openxmlformats.org/officeDocument/2006/relationships/hyperlink" Target="consultantplus://offline/ref=ACCC7BADC51A4A3EB7C5BB7E8F3D0814000D062C25FAD842506E984249DA2F48CB7A04FE7F40436A24844C437D22E9D62BEE718F59E37500AD400A49E9x2M" TargetMode="External"/><Relationship Id="rId22" Type="http://schemas.openxmlformats.org/officeDocument/2006/relationships/hyperlink" Target="consultantplus://offline/ref=ACCC7BADC51A4A3EB7C5BB7E8F3D0814000D062C25F1D5445B63984249DA2F48CB7A04FE7F40436A24844C4B7C22E9D62BEE718F59E37500AD400A49E9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BezrjadnovaJuS</cp:lastModifiedBy>
  <cp:revision>1</cp:revision>
  <dcterms:created xsi:type="dcterms:W3CDTF">2019-11-25T12:49:00Z</dcterms:created>
  <dcterms:modified xsi:type="dcterms:W3CDTF">2019-11-25T12:49:00Z</dcterms:modified>
</cp:coreProperties>
</file>