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4" w:rsidRPr="00D57404" w:rsidRDefault="00A365AC" w:rsidP="00D57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971A03" wp14:editId="10F4AFB7">
            <wp:extent cx="709295" cy="721995"/>
            <wp:effectExtent l="0" t="0" r="0" b="190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B81" w:rsidRDefault="00E86B81" w:rsidP="00D57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57404" w:rsidRPr="00D57404" w:rsidRDefault="00D57404" w:rsidP="00D57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574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D57404" w:rsidRPr="00D57404" w:rsidRDefault="00D57404" w:rsidP="00D5740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57404" w:rsidRPr="00D57404" w:rsidRDefault="00D57404" w:rsidP="00D574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57404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D57404" w:rsidRPr="00D57404" w:rsidRDefault="00D57404" w:rsidP="00D5740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404" w:rsidRPr="00D57404" w:rsidRDefault="00D57404" w:rsidP="00D5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D57404" w:rsidRPr="00D57404" w:rsidRDefault="00D57404" w:rsidP="00D57404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04" w:rsidRPr="00D57404" w:rsidRDefault="00D57404" w:rsidP="00D5740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40FC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r w:rsidRPr="00D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                 </w:t>
      </w:r>
      <w:r w:rsidR="007D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40FC">
        <w:rPr>
          <w:rFonts w:ascii="Times New Roman" w:eastAsia="Times New Roman" w:hAnsi="Times New Roman" w:cs="Times New Roman"/>
          <w:sz w:val="28"/>
          <w:szCs w:val="28"/>
          <w:lang w:eastAsia="ru-RU"/>
        </w:rPr>
        <w:t>351-р</w:t>
      </w:r>
    </w:p>
    <w:p w:rsidR="00D57404" w:rsidRPr="00D57404" w:rsidRDefault="00D57404" w:rsidP="00D5740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C94633" w:rsidRDefault="003E7C50" w:rsidP="001F5D9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9F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</w:t>
      </w:r>
      <w:r w:rsidR="001336C3" w:rsidRPr="001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установленные муниципальными правовыми актами,</w:t>
      </w:r>
      <w:r w:rsidR="001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является предметом муниципального контроля</w:t>
      </w:r>
      <w:r w:rsidR="001F5D97" w:rsidRPr="001F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сохранностью автомобильных дорог местного значения вне границ населенных пунктов в границах Березовского  района</w:t>
      </w:r>
    </w:p>
    <w:p w:rsidR="001336C3" w:rsidRPr="0012307F" w:rsidRDefault="001336C3" w:rsidP="001336C3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</w:t>
      </w:r>
      <w:r w:rsidR="001D4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заголовок </w:t>
      </w:r>
      <w:r w:rsidR="001D4A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дополнен словами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распоряжением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администрации от </w:t>
      </w:r>
      <w:r w:rsidRPr="0012307F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09.04.2019 №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 xml:space="preserve"> 244-р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1336C3" w:rsidRPr="0012307F" w:rsidRDefault="001336C3" w:rsidP="001336C3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 изменениями, внесенными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распоряжением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администрации от </w:t>
      </w:r>
      <w:r w:rsidRPr="0012307F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 xml:space="preserve">09.04.2019 № 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244-р</w:t>
      </w:r>
      <w:r w:rsidRPr="001230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86977" w:rsidRDefault="00686977" w:rsidP="00686977">
      <w:pPr>
        <w:widowControl w:val="0"/>
        <w:autoSpaceDE w:val="0"/>
        <w:autoSpaceDN w:val="0"/>
        <w:adjustRightInd w:val="0"/>
        <w:ind w:right="4959"/>
        <w:contextualSpacing/>
        <w:jc w:val="both"/>
        <w:outlineLvl w:val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(утратило силу </w:t>
      </w:r>
      <w:r>
        <w:rPr>
          <w:i/>
          <w:color w:val="FF0000"/>
          <w:sz w:val="28"/>
          <w:szCs w:val="28"/>
        </w:rPr>
        <w:t>распоряжением</w:t>
      </w:r>
      <w:r>
        <w:rPr>
          <w:i/>
          <w:color w:val="FF0000"/>
          <w:sz w:val="28"/>
          <w:szCs w:val="28"/>
        </w:rPr>
        <w:t xml:space="preserve"> Администрации от </w:t>
      </w:r>
      <w:r>
        <w:rPr>
          <w:i/>
          <w:color w:val="FF0000"/>
          <w:sz w:val="28"/>
          <w:szCs w:val="28"/>
        </w:rPr>
        <w:t>20.01.2020</w:t>
      </w:r>
      <w:r>
        <w:rPr>
          <w:i/>
          <w:color w:val="FF0000"/>
          <w:sz w:val="28"/>
          <w:szCs w:val="28"/>
        </w:rPr>
        <w:t xml:space="preserve"> № </w:t>
      </w:r>
      <w:r>
        <w:rPr>
          <w:i/>
          <w:color w:val="FF0000"/>
          <w:sz w:val="28"/>
          <w:szCs w:val="28"/>
        </w:rPr>
        <w:t>32-р</w:t>
      </w:r>
      <w:bookmarkStart w:id="0" w:name="_GoBack"/>
      <w:bookmarkEnd w:id="0"/>
      <w:r>
        <w:rPr>
          <w:i/>
          <w:color w:val="FF0000"/>
          <w:sz w:val="28"/>
          <w:szCs w:val="28"/>
        </w:rPr>
        <w:t>)</w:t>
      </w:r>
    </w:p>
    <w:p w:rsidR="001336C3" w:rsidRDefault="001336C3" w:rsidP="001F5D9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D97" w:rsidRDefault="001F5D97" w:rsidP="001F5D97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A6" w:rsidRDefault="003E7C50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10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</w:p>
    <w:p w:rsidR="003E7C50" w:rsidRDefault="005013A6" w:rsidP="001F5D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нормативных правовых актов или их отдельных частей, содержащих обязательные требования, </w:t>
      </w:r>
      <w:r w:rsidR="001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установленные муниципальными правовыми актами,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муниципального </w:t>
      </w:r>
      <w:r w:rsidR="001F5D97" w:rsidRPr="001F5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сохранностью автомобильных дорог местного значения вне границ населенных пунктов в границах Березовского  района</w:t>
      </w:r>
      <w:r w:rsidR="001F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1336C3" w:rsidRPr="001336C3" w:rsidRDefault="001336C3" w:rsidP="001336C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33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(пункт 1 дополнен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3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распоряжением </w:t>
      </w:r>
      <w:r w:rsidRPr="00133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от </w:t>
      </w:r>
      <w:r w:rsidRPr="001336C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09.04.2019 №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2</w:t>
      </w:r>
      <w:r w:rsidRPr="001336C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44-р)</w:t>
      </w:r>
    </w:p>
    <w:p w:rsidR="005013A6" w:rsidRPr="005013A6" w:rsidRDefault="005013A6" w:rsidP="001F5D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5013A6" w:rsidRDefault="001336C3" w:rsidP="00E86B8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первого заместителя главы Березовского района С.Ю. Билаша.</w:t>
      </w:r>
    </w:p>
    <w:p w:rsidR="002B7A9D" w:rsidRPr="001336C3" w:rsidRDefault="001336C3" w:rsidP="0013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133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(пункт 4 изложен в редакции распоряжения администрации </w:t>
      </w:r>
      <w:r w:rsidRPr="001336C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от 09.04.2019 № 244-р)</w:t>
      </w:r>
    </w:p>
    <w:p w:rsid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95" w:rsidRPr="003E7C50" w:rsidRDefault="004A5C95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5" w:rsidRPr="00AE7FD5" w:rsidRDefault="00AE7FD5" w:rsidP="00AE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</w:t>
      </w:r>
      <w:r w:rsidR="001002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80020" w:rsidRDefault="00AE7FD5" w:rsidP="00AE7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района                                       </w:t>
      </w:r>
      <w:r w:rsidR="0015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Чечеткина</w:t>
      </w:r>
    </w:p>
    <w:p w:rsidR="009F7A17" w:rsidRDefault="009F7A17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C6131" w:rsidSect="00154C0D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7D40FC">
        <w:rPr>
          <w:rFonts w:ascii="Times New Roman" w:hAnsi="Times New Roman" w:cs="Times New Roman"/>
          <w:sz w:val="28"/>
          <w:szCs w:val="28"/>
        </w:rPr>
        <w:t>25.06.</w:t>
      </w:r>
      <w:r w:rsidRPr="00F502AF">
        <w:rPr>
          <w:rFonts w:ascii="Times New Roman" w:hAnsi="Times New Roman" w:cs="Times New Roman"/>
          <w:sz w:val="28"/>
          <w:szCs w:val="28"/>
        </w:rPr>
        <w:t xml:space="preserve">2018 № </w:t>
      </w:r>
      <w:r w:rsidR="007D40FC">
        <w:rPr>
          <w:rFonts w:ascii="Times New Roman" w:hAnsi="Times New Roman" w:cs="Times New Roman"/>
          <w:sz w:val="28"/>
          <w:szCs w:val="28"/>
        </w:rPr>
        <w:t>351-р</w:t>
      </w:r>
    </w:p>
    <w:p w:rsidR="00EC6131" w:rsidRDefault="00EC613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EC6131" w:rsidRDefault="00EC6131" w:rsidP="00EC6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изложено в редакции распоряжения администрации от </w:t>
      </w:r>
      <w:r w:rsidRPr="00EC613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09.04.2019 № 244-р</w:t>
      </w:r>
      <w:r w:rsidRPr="00EC613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E1348C" w:rsidRDefault="00E1348C" w:rsidP="00EC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1" w:rsidRDefault="00EC6131" w:rsidP="00EC613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C6131" w:rsidRDefault="00EC6131" w:rsidP="00EC613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или их отдельных частей, </w:t>
      </w:r>
    </w:p>
    <w:p w:rsidR="00EC6131" w:rsidRDefault="00EC6131" w:rsidP="00EC613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за сохранностью автомобильных дорог местного значения вне границ населенных пунктов в границах Березовского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 же текстов нормативно правовых актов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56"/>
        <w:gridCol w:w="2035"/>
        <w:gridCol w:w="2143"/>
        <w:gridCol w:w="7411"/>
      </w:tblGrid>
      <w:tr w:rsidR="00EC6131" w:rsidTr="00EC6131">
        <w:trPr>
          <w:trHeight w:val="5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Текст (ссылка на текст) нормативно правового акта, иного документа или их отдельных частей 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даты его последней актуализации)</w:t>
            </w: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Международные договоры Российской Федерации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Решение Комиссии Таможенного союза от 18.10.2011 N 827 «О принятии технического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пункт 13.1, пункт 13.2, подпункты "а",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"б", "в", "г" пункта 13.5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юридические лица; индивидуальные предприниматели,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осуществляющие дорожную деятельность;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5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https://www.berezovo.ru/activity/munitsipalnyy-kontrol/perechen-pravovykh-aktov-reguliruyushchikh-osushchestvlenie-munitsipalnogo-kontrolya/</w:t>
              </w:r>
            </w:hyperlink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Акты органов Евразийского экономического союза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Федеральные конституционные законы и федеральные законы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25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дорожную деятельность;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5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http://pravo.gov.ru/proxy/ips/?docbody=&amp;nd=102118003&amp;intelsearch</w:t>
              </w:r>
            </w:hyperlink>
            <w:r w:rsidR="00EC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C6131" w:rsidRDefault="00EC6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N 196-ФЗ «О безопасности дорожного движения»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дорожную деятельность;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5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http://pravo.gov.ru/proxy/ips/?docbody=&amp;nd=102038671&amp;intelsearch</w:t>
              </w:r>
            </w:hyperlink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N 294-ФЗ "О защите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 статьи 9,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10,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11,</w:t>
            </w:r>
          </w:p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 статьи 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осуществляющие дорожную деятельность;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6131" w:rsidRDefault="005D15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EC6131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http://pravo.gov.ru/proxy/ips/?docbody=&amp;nd=102126836&amp;intelsearch=</w:t>
              </w:r>
            </w:hyperlink>
          </w:p>
          <w:p w:rsidR="00EC6131" w:rsidRDefault="00EC6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6131" w:rsidRDefault="00EC6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6131" w:rsidRDefault="00EC6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6131" w:rsidRDefault="00EC61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5D15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текст постановления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дорожную деятельность;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C6131" w:rsidRDefault="005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http://pravo.gov.ru/proxy/ips/?docbody=&amp;nd=102133320&amp;intelsearch</w:t>
              </w:r>
            </w:hyperlink>
            <w:r w:rsidR="00EC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C6131" w:rsidRDefault="00EC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131" w:rsidRDefault="00EC6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Нормативные правовые акты федеральных органов исполнительной власти</w:t>
            </w:r>
          </w:p>
        </w:tc>
      </w:tr>
      <w:tr w:rsidR="00EC6131" w:rsidTr="00EC6131">
        <w:trPr>
          <w:trHeight w:val="1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 78.13330.2012. Свод правил. Автомобильные дороги. Актуализированная редакция СНиП 3.06.03-85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Весь текст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дорожную деятельность;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5D15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https://www.berezovo.ru/activity/munitsipalnyy-kontrol/perechen-pravovykh-aktov-reguliruyushchikh-osushchestvlenie-munitsipalnogo-kontrolya/</w:t>
              </w:r>
            </w:hyperlink>
          </w:p>
          <w:p w:rsidR="00EC6131" w:rsidRDefault="00EC613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Приказ Росстандарта от 26.09.2017 N 1245-ст "Об утверждении национального стандарта Российской Федерации</w:t>
            </w:r>
          </w:p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пункт 5.2.1; пункт 5.2.3; пункт 5.2.4; пункт 5.2.5;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пункт 5.2.6; пункт 5.2.7.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осуществляющие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дорожную деятельность;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0"/>
            <w:bookmarkEnd w:id="1"/>
          </w:p>
          <w:p w:rsidR="00EC6131" w:rsidRDefault="005D15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https://www.berezovo.ru/activity/munitsipalnyy-kontrol/perechen-pravovykh-aktov-reguliruyushchikh-osushchestvlenie-munitsipalnogo-kontrolya/</w:t>
              </w:r>
            </w:hyperlink>
          </w:p>
          <w:p w:rsidR="00EC6131" w:rsidRDefault="00EC61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(утв. Приказом Минрегиона России от 28.12.2010 N 820)</w:t>
            </w:r>
          </w:p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(ред. от 15.08.2018)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ab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лица, индивидуальные предприниматели осуществляющие дорожную деятельность;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ab/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5D15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C613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https://www.berezovo.ru/activity/munitsipalnyy-kontrol/perechen-pravovykh-aktov-reguliruyushchikh-osushchestvlenie-munitsipalnogo-kontrolya/</w:t>
              </w:r>
            </w:hyperlink>
          </w:p>
          <w:p w:rsidR="00EC6131" w:rsidRDefault="00EC61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Законы и иные нормативные правовые акты субъектов Российской Федерации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Муниципальные правовые акты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31" w:rsidTr="00EC613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EC6131" w:rsidTr="00EC6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31" w:rsidRDefault="00EC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131" w:rsidRDefault="00EC6131" w:rsidP="00EC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AF" w:rsidRDefault="00F502AF" w:rsidP="00EC6131">
      <w:pPr>
        <w:spacing w:after="0" w:line="240" w:lineRule="auto"/>
        <w:jc w:val="center"/>
      </w:pPr>
    </w:p>
    <w:sectPr w:rsidR="00F502AF" w:rsidSect="00EC6131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E5" w:rsidRDefault="005D15E5" w:rsidP="00154C0D">
      <w:pPr>
        <w:spacing w:after="0" w:line="240" w:lineRule="auto"/>
      </w:pPr>
      <w:r>
        <w:separator/>
      </w:r>
    </w:p>
  </w:endnote>
  <w:endnote w:type="continuationSeparator" w:id="0">
    <w:p w:rsidR="005D15E5" w:rsidRDefault="005D15E5" w:rsidP="0015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E5" w:rsidRDefault="005D15E5" w:rsidP="00154C0D">
      <w:pPr>
        <w:spacing w:after="0" w:line="240" w:lineRule="auto"/>
      </w:pPr>
      <w:r>
        <w:separator/>
      </w:r>
    </w:p>
  </w:footnote>
  <w:footnote w:type="continuationSeparator" w:id="0">
    <w:p w:rsidR="005D15E5" w:rsidRDefault="005D15E5" w:rsidP="0015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25432"/>
      <w:docPartObj>
        <w:docPartGallery w:val="Page Numbers (Top of Page)"/>
        <w:docPartUnique/>
      </w:docPartObj>
    </w:sdtPr>
    <w:sdtEndPr/>
    <w:sdtContent>
      <w:p w:rsidR="00154C0D" w:rsidRDefault="00154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39">
          <w:rPr>
            <w:noProof/>
          </w:rPr>
          <w:t>2</w:t>
        </w:r>
        <w:r>
          <w:fldChar w:fldCharType="end"/>
        </w:r>
      </w:p>
    </w:sdtContent>
  </w:sdt>
  <w:p w:rsidR="00154C0D" w:rsidRDefault="00154C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F3C7B"/>
    <w:rsid w:val="00100213"/>
    <w:rsid w:val="001336C3"/>
    <w:rsid w:val="00154C0D"/>
    <w:rsid w:val="001D4A23"/>
    <w:rsid w:val="001F5D97"/>
    <w:rsid w:val="00224F7A"/>
    <w:rsid w:val="002B7A9D"/>
    <w:rsid w:val="003059FC"/>
    <w:rsid w:val="003E7C50"/>
    <w:rsid w:val="0049462E"/>
    <w:rsid w:val="004A5C95"/>
    <w:rsid w:val="004A6B4B"/>
    <w:rsid w:val="005013A6"/>
    <w:rsid w:val="00502500"/>
    <w:rsid w:val="005C4692"/>
    <w:rsid w:val="005D15E5"/>
    <w:rsid w:val="00670639"/>
    <w:rsid w:val="00686977"/>
    <w:rsid w:val="00687AB5"/>
    <w:rsid w:val="006B3ADE"/>
    <w:rsid w:val="006D3C4D"/>
    <w:rsid w:val="00701B57"/>
    <w:rsid w:val="007349E9"/>
    <w:rsid w:val="00790CB1"/>
    <w:rsid w:val="007C482F"/>
    <w:rsid w:val="007D40FC"/>
    <w:rsid w:val="00843FF3"/>
    <w:rsid w:val="0092403D"/>
    <w:rsid w:val="00980020"/>
    <w:rsid w:val="009F7A17"/>
    <w:rsid w:val="00A365AC"/>
    <w:rsid w:val="00A61EDD"/>
    <w:rsid w:val="00AE7FD5"/>
    <w:rsid w:val="00B03C73"/>
    <w:rsid w:val="00B3600F"/>
    <w:rsid w:val="00B562B4"/>
    <w:rsid w:val="00BB1EE2"/>
    <w:rsid w:val="00BD1380"/>
    <w:rsid w:val="00BE5536"/>
    <w:rsid w:val="00C310B8"/>
    <w:rsid w:val="00C34F2F"/>
    <w:rsid w:val="00C539A3"/>
    <w:rsid w:val="00C94633"/>
    <w:rsid w:val="00D57404"/>
    <w:rsid w:val="00DA6AF9"/>
    <w:rsid w:val="00DE12D6"/>
    <w:rsid w:val="00E1348C"/>
    <w:rsid w:val="00E329BE"/>
    <w:rsid w:val="00E54F1B"/>
    <w:rsid w:val="00E6732B"/>
    <w:rsid w:val="00E86B81"/>
    <w:rsid w:val="00E90E51"/>
    <w:rsid w:val="00E978CA"/>
    <w:rsid w:val="00EC2C82"/>
    <w:rsid w:val="00EC6131"/>
    <w:rsid w:val="00ED7F9B"/>
    <w:rsid w:val="00F152A1"/>
    <w:rsid w:val="00F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C0D"/>
  </w:style>
  <w:style w:type="paragraph" w:styleId="a9">
    <w:name w:val="footer"/>
    <w:basedOn w:val="a"/>
    <w:link w:val="aa"/>
    <w:uiPriority w:val="99"/>
    <w:unhideWhenUsed/>
    <w:rsid w:val="0015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C0D"/>
  </w:style>
  <w:style w:type="character" w:styleId="ab">
    <w:name w:val="Hyperlink"/>
    <w:basedOn w:val="a0"/>
    <w:semiHidden/>
    <w:unhideWhenUsed/>
    <w:rsid w:val="00EC6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C0D"/>
  </w:style>
  <w:style w:type="paragraph" w:styleId="a9">
    <w:name w:val="footer"/>
    <w:basedOn w:val="a"/>
    <w:link w:val="aa"/>
    <w:uiPriority w:val="99"/>
    <w:unhideWhenUsed/>
    <w:rsid w:val="0015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C0D"/>
  </w:style>
  <w:style w:type="character" w:styleId="ab">
    <w:name w:val="Hyperlink"/>
    <w:basedOn w:val="a0"/>
    <w:semiHidden/>
    <w:unhideWhenUsed/>
    <w:rsid w:val="00EC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038671&amp;intelsearch" TargetMode="External"/><Relationship Id="rId18" Type="http://schemas.openxmlformats.org/officeDocument/2006/relationships/hyperlink" Target="https://www.berezovo.ru/activity/munitsipalnyy-kontrol/perechen-pravovykh-aktov-reguliruyushchikh-osushchestvlenie-munitsipalnogo-kontrol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118003&amp;intelsearch" TargetMode="External"/><Relationship Id="rId17" Type="http://schemas.openxmlformats.org/officeDocument/2006/relationships/hyperlink" Target="https://www.berezovo.ru/activity/munitsipalnyy-kontrol/perechen-pravovykh-aktov-reguliruyushchikh-osushchestvlenie-munitsipalnogo-kontrol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133320&amp;intelsea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ezovo.ru/activity/munitsipalnyy-kontrol/perechen-pravovykh-aktov-reguliruyushchikh-osushchestvlenie-munitsipalnogo-kontro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8252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berezovo.ru/activity/munitsipalnyy-kontrol/perechen-pravovykh-aktov-reguliruyushchikh-osushchestvlenie-munitsipalnogo-kontrol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gov.ru/proxy/ips/?docbody=&amp;nd=102126836&amp;intelsearch=%D4%E5%E4%E5%F0%E0%EB%FC%ED%FB%E9+%E7%E0%EA%EE%ED+%EE%F2+26.12.2008+N+294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78F5-38ED-46B8-A43F-31D08FA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Салихова Мария Васильевна</cp:lastModifiedBy>
  <cp:revision>2</cp:revision>
  <cp:lastPrinted>2018-06-26T06:02:00Z</cp:lastPrinted>
  <dcterms:created xsi:type="dcterms:W3CDTF">2023-12-27T06:42:00Z</dcterms:created>
  <dcterms:modified xsi:type="dcterms:W3CDTF">2023-12-27T06:42:00Z</dcterms:modified>
</cp:coreProperties>
</file>