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spacing w:line="240" w:lineRule="auto"/>
        <w:tabs>
          <w:tab w:val="left" w:pos="421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выводах по итогам социологического исследования, проведенного в 2024 году.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tabs>
          <w:tab w:val="left" w:pos="4680" w:leader="none"/>
          <w:tab w:val="left" w:pos="5220" w:leader="none"/>
          <w:tab w:val="left" w:pos="5940" w:leader="none"/>
        </w:tabs>
      </w:pPr>
      <w:r>
        <w:rPr>
          <w:rFonts w:ascii="Times New Roman" w:hAnsi="Times New Roman" w:eastAsiaTheme="minorEastAsia"/>
          <w:sz w:val="28"/>
          <w:szCs w:val="28"/>
          <w:lang w:eastAsia="ru-RU"/>
        </w:rPr>
        <w:t xml:space="preserve">По результатам социологического исследования, проведенного в 2024 году, установлено следующее мнение граждан о состоянии межнациональных отношений в Березовском районе:  </w:t>
      </w:r>
      <w:r/>
    </w:p>
    <w:p>
      <w:pPr>
        <w:jc w:val="both"/>
        <w:spacing w:after="0" w:line="240" w:lineRule="auto"/>
        <w:tabs>
          <w:tab w:val="left" w:pos="4680" w:leader="none"/>
          <w:tab w:val="left" w:pos="5220" w:leader="none"/>
          <w:tab w:val="left" w:pos="5940" w:leader="none"/>
        </w:tabs>
      </w:pPr>
      <w:r>
        <w:rPr>
          <w:rFonts w:ascii="Times New Roman" w:hAnsi="Times New Roman" w:eastAsiaTheme="minorEastAsia"/>
          <w:sz w:val="28"/>
          <w:szCs w:val="28"/>
          <w:lang w:eastAsia="ru-RU"/>
        </w:rPr>
        <w:t xml:space="preserve">— 95% респондентов оценили отношения положительно;  </w:t>
      </w:r>
      <w:r/>
    </w:p>
    <w:p>
      <w:pPr>
        <w:jc w:val="both"/>
        <w:spacing w:after="0" w:line="240" w:lineRule="auto"/>
        <w:tabs>
          <w:tab w:val="left" w:pos="4680" w:leader="none"/>
          <w:tab w:val="left" w:pos="5220" w:leader="none"/>
          <w:tab w:val="left" w:pos="5940" w:leader="none"/>
        </w:tabs>
        <w:rPr>
          <w:rFonts w:ascii="Times New Roman" w:hAnsi="Times New Roman" w:eastAsiaTheme="minorEastAsia"/>
          <w:sz w:val="28"/>
          <w:szCs w:val="28"/>
          <w:lang w:eastAsia="ru-RU"/>
        </w:rPr>
      </w:pPr>
      <w:r>
        <w:rPr>
          <w:rFonts w:ascii="Times New Roman" w:hAnsi="Times New Roman" w:eastAsiaTheme="minorEastAsia"/>
          <w:sz w:val="28"/>
          <w:szCs w:val="28"/>
          <w:lang w:eastAsia="ru-RU"/>
        </w:rPr>
        <w:t xml:space="preserve">— среди населения Югры этот показатель составил 86,6%.</w:t>
      </w:r>
      <w:r>
        <w:rPr>
          <w:rFonts w:ascii="Times New Roman" w:hAnsi="Times New Roman" w:eastAsiaTheme="minorEastAsia"/>
          <w:sz w:val="28"/>
          <w:szCs w:val="28"/>
          <w:lang w:eastAsia="ru-RU"/>
        </w:rPr>
      </w:r>
      <w:r>
        <w:rPr>
          <w:rFonts w:ascii="Times New Roman" w:hAnsi="Times New Roman" w:eastAsiaTheme="minorEastAsia"/>
          <w:sz w:val="28"/>
          <w:szCs w:val="28"/>
          <w:lang w:eastAsia="ru-RU"/>
        </w:rPr>
      </w:r>
    </w:p>
    <w:p>
      <w:pPr>
        <w:jc w:val="both"/>
        <w:spacing w:after="0" w:line="240" w:lineRule="auto"/>
        <w:tabs>
          <w:tab w:val="left" w:pos="4680" w:leader="none"/>
          <w:tab w:val="left" w:pos="5220" w:leader="none"/>
          <w:tab w:val="left" w:pos="5940" w:leader="none"/>
        </w:tabs>
        <w:rPr>
          <w:rFonts w:ascii="Times New Roman" w:hAnsi="Times New Roman" w:eastAsiaTheme="minorEastAsia"/>
          <w:sz w:val="28"/>
          <w:szCs w:val="28"/>
          <w:lang w:eastAsia="ru-RU"/>
        </w:rPr>
      </w:pPr>
      <w:r>
        <w:rPr>
          <w:rFonts w:ascii="Times New Roman" w:hAnsi="Times New Roman" w:eastAsiaTheme="minorEastAsia"/>
          <w:sz w:val="28"/>
          <w:szCs w:val="28"/>
          <w:lang w:eastAsia="ru-RU"/>
        </w:rPr>
      </w:r>
      <w:r>
        <w:rPr>
          <w:rFonts w:ascii="Times New Roman" w:hAnsi="Times New Roman" w:eastAsiaTheme="minorEastAsia"/>
          <w:sz w:val="28"/>
          <w:szCs w:val="28"/>
          <w:lang w:eastAsia="ru-RU"/>
        </w:rPr>
      </w:r>
      <w:r>
        <w:rPr>
          <w:rFonts w:ascii="Times New Roman" w:hAnsi="Times New Roman" w:eastAsiaTheme="minorEastAsia"/>
          <w:sz w:val="28"/>
          <w:szCs w:val="28"/>
          <w:lang w:eastAsia="ru-RU"/>
        </w:rPr>
      </w:r>
    </w:p>
    <w:p>
      <w:pPr>
        <w:jc w:val="both"/>
        <w:spacing w:after="0" w:line="240" w:lineRule="auto"/>
        <w:tabs>
          <w:tab w:val="left" w:pos="4680" w:leader="none"/>
          <w:tab w:val="left" w:pos="5220" w:leader="none"/>
          <w:tab w:val="left" w:pos="5940" w:leader="none"/>
        </w:tabs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 xml:space="preserve">Общая характеристика ситуации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4"/>
        </w:numPr>
        <w:jc w:val="both"/>
        <w:spacing w:after="0" w:line="240" w:lineRule="auto"/>
        <w:tabs>
          <w:tab w:val="left" w:pos="4680" w:leader="none"/>
          <w:tab w:val="left" w:pos="5220" w:leader="none"/>
          <w:tab w:val="left" w:pos="5940" w:leader="none"/>
        </w:tabs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Ситуация в сфере этноконфессиональных отношений в Березовском районе характеризуется положительной динамикой: уровень доброжелательности и общественного согласия вырос с 14,8% в 2023 году до 25% в 2024 году.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4"/>
        </w:numPr>
        <w:jc w:val="both"/>
        <w:spacing w:after="0" w:line="240" w:lineRule="auto"/>
        <w:tabs>
          <w:tab w:val="left" w:pos="4680" w:leader="none"/>
          <w:tab w:val="left" w:pos="5220" w:leader="none"/>
          <w:tab w:val="left" w:pos="5940" w:leader="none"/>
        </w:tabs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Отношения между представителями разных национальностей в Березовском районе были оценены большинством опрошенных — 70% считают их доброжелательными и способствующими общественному согласию.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tabs>
          <w:tab w:val="left" w:pos="4680" w:leader="none"/>
          <w:tab w:val="left" w:pos="5220" w:leader="none"/>
          <w:tab w:val="left" w:pos="5940" w:leader="none"/>
        </w:tabs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 xml:space="preserve">Межнациональные отношения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5"/>
        </w:numPr>
        <w:jc w:val="both"/>
        <w:spacing w:after="0" w:line="240" w:lineRule="auto"/>
        <w:tabs>
          <w:tab w:val="left" w:pos="4680" w:leader="none"/>
          <w:tab w:val="left" w:pos="5220" w:leader="none"/>
          <w:tab w:val="left" w:pos="5940" w:leader="none"/>
        </w:tabs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Отношения между представителями разных национальностей в Березовском районе 70% опрошенных оценили как доброжелательные и способствующие общественному согласию.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5"/>
        </w:numPr>
        <w:jc w:val="both"/>
        <w:spacing w:after="0" w:line="240" w:lineRule="auto"/>
        <w:tabs>
          <w:tab w:val="left" w:pos="4680" w:leader="none"/>
          <w:tab w:val="left" w:pos="5220" w:leader="none"/>
          <w:tab w:val="left" w:pos="5940" w:leader="none"/>
        </w:tabs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92,5% опрошенных заявили, что не сталкиваются с нарушениями прав или ограничениями возможностей из-за своей национальности, религии или языка.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numPr>
          <w:ilvl w:val="0"/>
          <w:numId w:val="5"/>
        </w:numPr>
        <w:jc w:val="both"/>
        <w:spacing w:after="0" w:line="240" w:lineRule="auto"/>
        <w:tabs>
          <w:tab w:val="left" w:pos="4680" w:leader="none"/>
          <w:tab w:val="left" w:pos="5220" w:leader="none"/>
          <w:tab w:val="left" w:pos="5940" w:leader="none"/>
        </w:tabs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/>
          <w:b w:val="0"/>
          <w:bCs w:val="0"/>
          <w:sz w:val="28"/>
          <w:szCs w:val="28"/>
          <w:lang w:eastAsia="ru-RU"/>
        </w:rPr>
        <w:t xml:space="preserve">Среди респондентов только 7%указали, что испытывают неприязнь к представителям какой-либо национальности.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ind w:left="720" w:firstLine="0"/>
        <w:jc w:val="both"/>
        <w:spacing w:after="0" w:line="240" w:lineRule="auto"/>
        <w:tabs>
          <w:tab w:val="left" w:pos="4680" w:leader="none"/>
          <w:tab w:val="left" w:pos="5220" w:leader="none"/>
          <w:tab w:val="left" w:pos="5940" w:leader="none"/>
        </w:tabs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tabs>
          <w:tab w:val="left" w:pos="4680" w:leader="none"/>
          <w:tab w:val="left" w:pos="5220" w:leader="none"/>
          <w:tab w:val="left" w:pos="5940" w:leader="none"/>
        </w:tabs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 xml:space="preserve">Межконфессиональные отношения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860"/>
        <w:numPr>
          <w:ilvl w:val="0"/>
          <w:numId w:val="9"/>
        </w:numPr>
        <w:jc w:val="both"/>
        <w:spacing w:after="0" w:line="240" w:lineRule="auto"/>
        <w:tabs>
          <w:tab w:val="left" w:pos="4680" w:leader="none"/>
          <w:tab w:val="left" w:pos="5220" w:leader="none"/>
          <w:tab w:val="left" w:pos="5940" w:leader="none"/>
        </w:tabs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Отношения между людьми различных вероисповеданий в Югре распределились следующим образом:  </w:t>
      </w:r>
      <w:r/>
    </w:p>
    <w:p>
      <w:pPr>
        <w:ind w:left="709" w:firstLine="0"/>
        <w:jc w:val="both"/>
        <w:spacing w:after="0" w:line="240" w:lineRule="auto"/>
        <w:tabs>
          <w:tab w:val="left" w:pos="4680" w:leader="none"/>
          <w:tab w:val="left" w:pos="5220" w:leader="none"/>
          <w:tab w:val="left" w:pos="5940" w:leader="none"/>
        </w:tabs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</w:r>
    </w:p>
    <w:p>
      <w:pPr>
        <w:ind w:left="0" w:firstLine="0"/>
        <w:jc w:val="both"/>
        <w:spacing w:after="0" w:line="240" w:lineRule="auto"/>
        <w:tabs>
          <w:tab w:val="left" w:pos="4680" w:leader="none"/>
          <w:tab w:val="left" w:pos="5220" w:leader="none"/>
          <w:tab w:val="left" w:pos="5940" w:leader="none"/>
        </w:tabs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— доброжелательные, способствующие общественному согласию — 40%,  </w:t>
      </w:r>
      <w:r/>
    </w:p>
    <w:p>
      <w:pPr>
        <w:ind w:left="0" w:firstLine="0"/>
        <w:jc w:val="both"/>
        <w:spacing w:after="0" w:line="240" w:lineRule="auto"/>
        <w:tabs>
          <w:tab w:val="left" w:pos="4680" w:leader="none"/>
          <w:tab w:val="left" w:pos="5220" w:leader="none"/>
          <w:tab w:val="left" w:pos="5940" w:leader="none"/>
        </w:tabs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— нейтральные, бесконфликтные — 45%.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</w:r>
    </w:p>
    <w:p>
      <w:pPr>
        <w:ind w:left="720" w:firstLine="0"/>
        <w:jc w:val="both"/>
        <w:spacing w:after="0" w:line="240" w:lineRule="auto"/>
        <w:tabs>
          <w:tab w:val="left" w:pos="4680" w:leader="none"/>
          <w:tab w:val="left" w:pos="5220" w:leader="none"/>
          <w:tab w:val="left" w:pos="5940" w:leader="none"/>
        </w:tabs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ind w:left="0" w:firstLine="0"/>
        <w:jc w:val="both"/>
        <w:spacing w:after="0" w:line="240" w:lineRule="auto"/>
        <w:tabs>
          <w:tab w:val="left" w:pos="4680" w:leader="none"/>
          <w:tab w:val="left" w:pos="5220" w:leader="none"/>
          <w:tab w:val="left" w:pos="5940" w:leader="none"/>
        </w:tabs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            Распределение участников опроса по национальностям выглядит следующим образом:</w:t>
      </w:r>
      <w:r/>
    </w:p>
    <w:p>
      <w:pPr>
        <w:ind w:left="720" w:firstLine="0"/>
        <w:jc w:val="both"/>
        <w:spacing w:after="0" w:line="240" w:lineRule="auto"/>
        <w:tabs>
          <w:tab w:val="left" w:pos="4680" w:leader="none"/>
          <w:tab w:val="left" w:pos="5220" w:leader="none"/>
          <w:tab w:val="left" w:pos="5940" w:leader="none"/>
        </w:tabs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</w:r>
      <w:r/>
    </w:p>
    <w:p>
      <w:pPr>
        <w:ind w:left="0" w:right="0" w:firstLine="0"/>
        <w:jc w:val="both"/>
        <w:spacing w:after="0" w:line="240" w:lineRule="auto"/>
        <w:tabs>
          <w:tab w:val="left" w:pos="4680" w:leader="none"/>
          <w:tab w:val="left" w:pos="5220" w:leader="none"/>
          <w:tab w:val="left" w:pos="5940" w:leader="none"/>
        </w:tabs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- Русские составили наибольшую долю участников — 65%.</w:t>
      </w:r>
      <w:r/>
    </w:p>
    <w:p>
      <w:pPr>
        <w:ind w:left="0" w:right="0" w:firstLine="0"/>
        <w:jc w:val="both"/>
        <w:spacing w:after="0" w:line="240" w:lineRule="auto"/>
        <w:tabs>
          <w:tab w:val="left" w:pos="4680" w:leader="none"/>
          <w:tab w:val="left" w:pos="5220" w:leader="none"/>
          <w:tab w:val="left" w:pos="5940" w:leader="none"/>
        </w:tabs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- Далее следуют азербайджанцы — 2,5%.</w:t>
      </w:r>
      <w:r/>
    </w:p>
    <w:p>
      <w:pPr>
        <w:ind w:left="0" w:right="0" w:firstLine="0"/>
        <w:jc w:val="both"/>
        <w:spacing w:after="0" w:line="240" w:lineRule="auto"/>
        <w:tabs>
          <w:tab w:val="left" w:pos="4680" w:leader="none"/>
          <w:tab w:val="left" w:pos="5220" w:leader="none"/>
          <w:tab w:val="left" w:pos="5940" w:leader="none"/>
        </w:tabs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- Представители уроженцев Средней Азии — тоже 2,5%.</w:t>
      </w:r>
      <w:r/>
    </w:p>
    <w:p>
      <w:pPr>
        <w:ind w:left="0" w:right="0" w:firstLine="0"/>
        <w:jc w:val="both"/>
        <w:spacing w:after="0" w:line="240" w:lineRule="auto"/>
        <w:tabs>
          <w:tab w:val="left" w:pos="4680" w:leader="none"/>
          <w:tab w:val="left" w:pos="5220" w:leader="none"/>
          <w:tab w:val="left" w:pos="5940" w:leader="none"/>
        </w:tabs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- Коренные малочисленные народы Севера составляют значительную часть участников — 15%.</w:t>
      </w:r>
      <w:r/>
    </w:p>
    <w:p>
      <w:pPr>
        <w:ind w:left="0" w:right="0" w:firstLine="0"/>
        <w:jc w:val="both"/>
        <w:spacing w:after="0" w:line="240" w:lineRule="auto"/>
        <w:tabs>
          <w:tab w:val="left" w:pos="4680" w:leader="none"/>
          <w:tab w:val="left" w:pos="5220" w:leader="none"/>
          <w:tab w:val="left" w:pos="5940" w:leader="none"/>
        </w:tabs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- Остальные национальные группы представлены в объеме 7,5%.</w:t>
      </w:r>
      <w:r/>
    </w:p>
    <w:p>
      <w:pPr>
        <w:ind w:left="720" w:firstLine="0"/>
        <w:jc w:val="both"/>
        <w:spacing w:after="0" w:line="240" w:lineRule="auto"/>
        <w:tabs>
          <w:tab w:val="left" w:pos="4680" w:leader="none"/>
          <w:tab w:val="left" w:pos="5220" w:leader="none"/>
          <w:tab w:val="left" w:pos="5940" w:leader="none"/>
        </w:tabs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</w:r>
      <w:r/>
    </w:p>
    <w:p>
      <w:pPr>
        <w:ind w:left="0" w:right="0" w:firstLine="720"/>
        <w:jc w:val="both"/>
        <w:spacing w:after="0" w:line="240" w:lineRule="auto"/>
        <w:tabs>
          <w:tab w:val="left" w:pos="4680" w:leader="none"/>
          <w:tab w:val="left" w:pos="5220" w:leader="none"/>
          <w:tab w:val="left" w:pos="5940" w:leader="none"/>
        </w:tabs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Такое распределение позволяет увидеть широкий спектр мнений и оценок среди различных этнических групп, проживающих в регионе.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br/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</w:r>
    </w:p>
    <w:p>
      <w:pPr>
        <w:ind w:left="0" w:right="0" w:firstLine="709"/>
        <w:jc w:val="both"/>
        <w:spacing w:after="0" w:line="240" w:lineRule="auto"/>
        <w:tabs>
          <w:tab w:val="left" w:pos="4680" w:leader="none"/>
          <w:tab w:val="left" w:pos="5220" w:leader="none"/>
          <w:tab w:val="left" w:pos="5940" w:leader="none"/>
        </w:tabs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Распределение верований среди группы опрашиваемых лиц распределилось следующим образом:</w:t>
      </w:r>
      <w:r/>
    </w:p>
    <w:p>
      <w:pPr>
        <w:ind w:left="0" w:firstLine="0"/>
        <w:jc w:val="both"/>
        <w:spacing w:after="0" w:line="240" w:lineRule="auto"/>
        <w:tabs>
          <w:tab w:val="left" w:pos="4680" w:leader="none"/>
          <w:tab w:val="left" w:pos="5220" w:leader="none"/>
          <w:tab w:val="left" w:pos="5940" w:leader="none"/>
        </w:tabs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</w:r>
      <w:r/>
    </w:p>
    <w:p>
      <w:pPr>
        <w:ind w:left="0" w:firstLine="0"/>
        <w:jc w:val="both"/>
        <w:spacing w:after="0" w:line="240" w:lineRule="auto"/>
        <w:tabs>
          <w:tab w:val="left" w:pos="4680" w:leader="none"/>
          <w:tab w:val="left" w:pos="5220" w:leader="none"/>
          <w:tab w:val="left" w:pos="5940" w:leader="none"/>
        </w:tabs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- Православие — большинство опрошенных (70%) относят себя именно к этому направлению христианства. </w:t>
      </w:r>
      <w:r/>
    </w:p>
    <w:p>
      <w:pPr>
        <w:ind w:left="0" w:firstLine="0"/>
        <w:jc w:val="both"/>
        <w:spacing w:after="0" w:line="240" w:lineRule="auto"/>
        <w:tabs>
          <w:tab w:val="left" w:pos="4680" w:leader="none"/>
          <w:tab w:val="left" w:pos="5220" w:leader="none"/>
          <w:tab w:val="left" w:pos="5940" w:leader="none"/>
        </w:tabs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  </w:t>
      </w:r>
      <w:r/>
    </w:p>
    <w:p>
      <w:pPr>
        <w:ind w:left="0" w:firstLine="0"/>
        <w:jc w:val="both"/>
        <w:spacing w:after="0" w:line="240" w:lineRule="auto"/>
        <w:tabs>
          <w:tab w:val="left" w:pos="4680" w:leader="none"/>
          <w:tab w:val="left" w:pos="5220" w:leader="none"/>
          <w:tab w:val="left" w:pos="5940" w:leader="none"/>
        </w:tabs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- Другие ветви христианства (например, католицизм, протестантизм) — составляют около 10% респондентов. </w:t>
      </w:r>
      <w:r/>
    </w:p>
    <w:p>
      <w:pPr>
        <w:ind w:left="0" w:firstLine="0"/>
        <w:jc w:val="both"/>
        <w:spacing w:after="0" w:line="240" w:lineRule="auto"/>
        <w:tabs>
          <w:tab w:val="left" w:pos="4680" w:leader="none"/>
          <w:tab w:val="left" w:pos="5220" w:leader="none"/>
          <w:tab w:val="left" w:pos="5940" w:leader="none"/>
        </w:tabs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</w:r>
      <w:r/>
    </w:p>
    <w:p>
      <w:pPr>
        <w:ind w:left="0" w:firstLine="0"/>
        <w:jc w:val="both"/>
        <w:spacing w:after="0" w:line="240" w:lineRule="auto"/>
        <w:tabs>
          <w:tab w:val="left" w:pos="4680" w:leader="none"/>
          <w:tab w:val="left" w:pos="5220" w:leader="none"/>
          <w:tab w:val="left" w:pos="5940" w:leader="none"/>
        </w:tabs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- Ислам, мусульманство — небольшой процент (2,5%), хотя ислам является второй крупнейшей мировой религией, особенно распространённой в странах Ближнего Востока, Центральной Азии и частично в европейской части России.</w:t>
      </w:r>
      <w:r/>
    </w:p>
    <w:p>
      <w:pPr>
        <w:ind w:left="0" w:firstLine="0"/>
        <w:jc w:val="both"/>
        <w:spacing w:after="0" w:line="240" w:lineRule="auto"/>
        <w:tabs>
          <w:tab w:val="left" w:pos="4680" w:leader="none"/>
          <w:tab w:val="left" w:pos="5220" w:leader="none"/>
          <w:tab w:val="left" w:pos="5940" w:leader="none"/>
        </w:tabs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</w:r>
      <w:r/>
    </w:p>
    <w:p>
      <w:pPr>
        <w:ind w:left="0" w:firstLine="0"/>
        <w:jc w:val="both"/>
        <w:spacing w:after="0" w:line="240" w:lineRule="auto"/>
        <w:tabs>
          <w:tab w:val="left" w:pos="4680" w:leader="none"/>
          <w:tab w:val="left" w:pos="5220" w:leader="none"/>
          <w:tab w:val="left" w:pos="5940" w:leader="none"/>
        </w:tabs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- Многобожие, язычество — небольшая доля приверженцев древних политеистических традиций составляет примерно 5%.</w:t>
      </w:r>
      <w:r/>
    </w:p>
    <w:p>
      <w:pPr>
        <w:ind w:left="0" w:firstLine="0"/>
        <w:jc w:val="both"/>
        <w:spacing w:after="0" w:line="240" w:lineRule="auto"/>
        <w:tabs>
          <w:tab w:val="left" w:pos="4680" w:leader="none"/>
          <w:tab w:val="left" w:pos="5220" w:leader="none"/>
          <w:tab w:val="left" w:pos="5940" w:leader="none"/>
        </w:tabs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</w:r>
      <w:r/>
    </w:p>
    <w:p>
      <w:pPr>
        <w:ind w:left="0" w:firstLine="0"/>
        <w:jc w:val="both"/>
        <w:spacing w:after="0" w:line="240" w:lineRule="auto"/>
        <w:tabs>
          <w:tab w:val="left" w:pos="4680" w:leader="none"/>
          <w:tab w:val="left" w:pos="5220" w:leader="none"/>
          <w:tab w:val="left" w:pos="5940" w:leader="none"/>
        </w:tabs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- Атеисты, составляющие примерно 7,5%, отвергают веру в богов и считают себя неверующими.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tabs>
          <w:tab w:val="left" w:pos="4680" w:leader="none"/>
          <w:tab w:val="left" w:pos="5220" w:leader="none"/>
          <w:tab w:val="left" w:pos="5940" w:leader="none"/>
        </w:tabs>
        <w:rPr>
          <w:rFonts w:ascii="Times New Roman" w:hAnsi="Times New Roman" w:eastAsia="Times New Roman"/>
          <w:b/>
          <w:bCs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/>
          <w:b/>
          <w:bCs/>
          <w:sz w:val="28"/>
          <w:szCs w:val="28"/>
          <w:highlight w:val="none"/>
          <w:lang w:eastAsia="ru-RU"/>
        </w:rPr>
      </w:r>
    </w:p>
    <w:p>
      <w:pPr>
        <w:jc w:val="both"/>
        <w:spacing w:after="0" w:line="240" w:lineRule="auto"/>
        <w:tabs>
          <w:tab w:val="left" w:pos="4680" w:leader="none"/>
          <w:tab w:val="left" w:pos="5220" w:leader="none"/>
          <w:tab w:val="left" w:pos="5940" w:leader="none"/>
        </w:tabs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На сегодняшний день межнациональные конфликты остаются актуальной проблемой в Российской Федерации. Безусловное согласие выразили 37,5% опрошенных, скорее согласны, чем не согласны — 32,5%, а скорее несогласны, чем согласны — 22,5%.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</w:r>
    </w:p>
    <w:p>
      <w:pPr>
        <w:jc w:val="both"/>
        <w:spacing w:after="0" w:line="240" w:lineRule="auto"/>
        <w:tabs>
          <w:tab w:val="left" w:pos="4680" w:leader="none"/>
          <w:tab w:val="left" w:pos="5220" w:leader="none"/>
          <w:tab w:val="left" w:pos="5940" w:leader="none"/>
        </w:tabs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tabs>
          <w:tab w:val="left" w:pos="4680" w:leader="none"/>
          <w:tab w:val="left" w:pos="5220" w:leader="none"/>
          <w:tab w:val="left" w:pos="5940" w:leader="none"/>
        </w:tabs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          В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 случае возникновения межнациональных конфликтов большая часть опрошенных заявила, что готова всячески содействовать мирному урегулированию ситуации — 67,5%. Некоторые предпочли бы поддержать свою национальную группу — 15%. Наиболее радикальная позиция выс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казана лишь небольшим процентом участников опроса — 7,5% заявили, что готовы прибегнуть к оружию в определенных обстоятельствах.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</w:r>
    </w:p>
    <w:p>
      <w:pPr>
        <w:jc w:val="both"/>
        <w:spacing w:after="0" w:line="240" w:lineRule="auto"/>
        <w:tabs>
          <w:tab w:val="left" w:pos="4680" w:leader="none"/>
          <w:tab w:val="left" w:pos="5220" w:leader="none"/>
          <w:tab w:val="left" w:pos="5940" w:leader="none"/>
        </w:tabs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</w:r>
    </w:p>
    <w:p>
      <w:pPr>
        <w:jc w:val="both"/>
        <w:spacing w:after="0" w:line="240" w:lineRule="auto"/>
        <w:tabs>
          <w:tab w:val="left" w:pos="4680" w:leader="none"/>
          <w:tab w:val="left" w:pos="5220" w:leader="none"/>
          <w:tab w:val="left" w:pos="5940" w:leader="none"/>
        </w:tabs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</w:r>
    </w:p>
    <w:p>
      <w:pPr>
        <w:jc w:val="both"/>
        <w:spacing w:after="0" w:line="240" w:lineRule="auto"/>
        <w:tabs>
          <w:tab w:val="left" w:pos="4680" w:leader="none"/>
          <w:tab w:val="left" w:pos="5220" w:leader="none"/>
          <w:tab w:val="left" w:pos="5940" w:leader="none"/>
        </w:tabs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 xml:space="preserve">Восприятие деятельности властей по направлениям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</w:r>
    </w:p>
    <w:p>
      <w:pPr>
        <w:jc w:val="both"/>
        <w:spacing w:after="0" w:line="240" w:lineRule="auto"/>
        <w:tabs>
          <w:tab w:val="left" w:pos="4680" w:leader="none"/>
          <w:tab w:val="left" w:pos="5220" w:leader="none"/>
          <w:tab w:val="left" w:pos="5940" w:leader="none"/>
        </w:tabs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tabs>
          <w:tab w:val="left" w:pos="4680" w:leader="none"/>
          <w:tab w:val="left" w:pos="5220" w:leader="none"/>
          <w:tab w:val="left" w:pos="5940" w:leader="none"/>
        </w:tabs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          Оценка эффективности деятельности органов исполнительной власти Ханты-Мансийского автономного округа – Югры в области межрелигиозных отношений показала следующие результаты:</w:t>
      </w:r>
      <w:r/>
    </w:p>
    <w:p>
      <w:pPr>
        <w:jc w:val="both"/>
        <w:spacing w:after="0" w:line="240" w:lineRule="auto"/>
        <w:tabs>
          <w:tab w:val="left" w:pos="4680" w:leader="none"/>
          <w:tab w:val="left" w:pos="5220" w:leader="none"/>
          <w:tab w:val="left" w:pos="5940" w:leader="none"/>
        </w:tabs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</w:r>
      <w:r/>
    </w:p>
    <w:p>
      <w:pPr>
        <w:jc w:val="both"/>
        <w:spacing w:after="0" w:line="240" w:lineRule="auto"/>
        <w:tabs>
          <w:tab w:val="left" w:pos="4680" w:leader="none"/>
          <w:tab w:val="left" w:pos="5220" w:leader="none"/>
          <w:tab w:val="left" w:pos="5940" w:leader="none"/>
        </w:tabs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- Больше всего респондентов (45%) отметили, что они ничего не знают о подобной деятельности властей региона.</w:t>
      </w:r>
      <w:r/>
    </w:p>
    <w:p>
      <w:pPr>
        <w:jc w:val="both"/>
        <w:spacing w:after="0" w:line="240" w:lineRule="auto"/>
        <w:tabs>
          <w:tab w:val="left" w:pos="4680" w:leader="none"/>
          <w:tab w:val="left" w:pos="5220" w:leader="none"/>
          <w:tab w:val="left" w:pos="5940" w:leader="none"/>
        </w:tabs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- Высокую эффективность оценили 17,5%.</w:t>
      </w:r>
      <w:r/>
    </w:p>
    <w:p>
      <w:pPr>
        <w:jc w:val="both"/>
        <w:spacing w:after="0" w:line="240" w:lineRule="auto"/>
        <w:tabs>
          <w:tab w:val="left" w:pos="4680" w:leader="none"/>
          <w:tab w:val="left" w:pos="5220" w:leader="none"/>
          <w:tab w:val="left" w:pos="5940" w:leader="none"/>
        </w:tabs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- Еще 17,5% назвали эффективность скорее высокой.</w:t>
      </w:r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Calibri">
    <w:panose1 w:val="020F0502020204030204"/>
  </w:font>
  <w:font w:name="Tahoma">
    <w:panose1 w:val="020B0604030504040204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 w:eastAsia="Symbol" w:cs="Symbol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3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 w:eastAsia="Symbol" w:cs="Symbol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  <w:tabs>
          <w:tab w:val="num" w:pos="720" w:leader="none"/>
        </w:tabs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5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4"/>
  </w:num>
  <w:num w:numId="5">
    <w:abstractNumId w:val="0"/>
  </w:num>
  <w:num w:numId="6">
    <w:abstractNumId w:val="3"/>
  </w:num>
  <w:num w:numId="7">
    <w:abstractNumId w:val="1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8">
    <w:name w:val="Heading 1 Char"/>
    <w:basedOn w:val="854"/>
    <w:link w:val="852"/>
    <w:uiPriority w:val="9"/>
    <w:rPr>
      <w:rFonts w:ascii="Arial" w:hAnsi="Arial" w:eastAsia="Arial" w:cs="Arial"/>
      <w:sz w:val="40"/>
      <w:szCs w:val="40"/>
    </w:rPr>
  </w:style>
  <w:style w:type="paragraph" w:styleId="679">
    <w:name w:val="Heading 2"/>
    <w:basedOn w:val="851"/>
    <w:next w:val="851"/>
    <w:link w:val="6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0">
    <w:name w:val="Heading 2 Char"/>
    <w:basedOn w:val="854"/>
    <w:link w:val="679"/>
    <w:uiPriority w:val="9"/>
    <w:rPr>
      <w:rFonts w:ascii="Arial" w:hAnsi="Arial" w:eastAsia="Arial" w:cs="Arial"/>
      <w:sz w:val="34"/>
    </w:rPr>
  </w:style>
  <w:style w:type="character" w:styleId="681">
    <w:name w:val="Heading 3 Char"/>
    <w:basedOn w:val="854"/>
    <w:link w:val="853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1"/>
    <w:next w:val="851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basedOn w:val="854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1"/>
    <w:next w:val="851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basedOn w:val="854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1"/>
    <w:next w:val="851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basedOn w:val="854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1"/>
    <w:next w:val="851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basedOn w:val="854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1"/>
    <w:next w:val="851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basedOn w:val="854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1"/>
    <w:next w:val="851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basedOn w:val="854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No Spacing"/>
    <w:uiPriority w:val="1"/>
    <w:qFormat/>
    <w:pPr>
      <w:spacing w:before="0" w:after="0" w:line="240" w:lineRule="auto"/>
    </w:pPr>
  </w:style>
  <w:style w:type="paragraph" w:styleId="695">
    <w:name w:val="Title"/>
    <w:basedOn w:val="851"/>
    <w:next w:val="851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>
    <w:name w:val="Title Char"/>
    <w:basedOn w:val="854"/>
    <w:link w:val="695"/>
    <w:uiPriority w:val="10"/>
    <w:rPr>
      <w:sz w:val="48"/>
      <w:szCs w:val="48"/>
    </w:rPr>
  </w:style>
  <w:style w:type="paragraph" w:styleId="697">
    <w:name w:val="Subtitle"/>
    <w:basedOn w:val="851"/>
    <w:next w:val="851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>
    <w:name w:val="Subtitle Char"/>
    <w:basedOn w:val="854"/>
    <w:link w:val="697"/>
    <w:uiPriority w:val="11"/>
    <w:rPr>
      <w:sz w:val="24"/>
      <w:szCs w:val="24"/>
    </w:rPr>
  </w:style>
  <w:style w:type="paragraph" w:styleId="699">
    <w:name w:val="Quote"/>
    <w:basedOn w:val="851"/>
    <w:next w:val="851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851"/>
    <w:next w:val="851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paragraph" w:styleId="703">
    <w:name w:val="Header"/>
    <w:basedOn w:val="851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>
    <w:name w:val="Header Char"/>
    <w:basedOn w:val="854"/>
    <w:link w:val="703"/>
    <w:uiPriority w:val="99"/>
  </w:style>
  <w:style w:type="paragraph" w:styleId="705">
    <w:name w:val="Footer"/>
    <w:basedOn w:val="851"/>
    <w:link w:val="70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Footer Char"/>
    <w:basedOn w:val="854"/>
    <w:link w:val="705"/>
    <w:uiPriority w:val="99"/>
  </w:style>
  <w:style w:type="paragraph" w:styleId="707">
    <w:name w:val="Caption"/>
    <w:basedOn w:val="851"/>
    <w:next w:val="85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>
    <w:name w:val="Caption Char"/>
    <w:basedOn w:val="707"/>
    <w:link w:val="705"/>
    <w:uiPriority w:val="99"/>
  </w:style>
  <w:style w:type="table" w:styleId="709">
    <w:name w:val="Table Grid Light"/>
    <w:basedOn w:val="85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5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85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8">
    <w:name w:val="List Table 7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9">
    <w:name w:val="List Table 7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0">
    <w:name w:val="List Table 7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1">
    <w:name w:val="List Table 7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2">
    <w:name w:val="List Table 7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3">
    <w:name w:val="Lined - Accent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5">
    <w:name w:val="Lined - Accent 2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6">
    <w:name w:val="Lined - Accent 3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7">
    <w:name w:val="Lined - Accent 4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8">
    <w:name w:val="Lined - Accent 5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9">
    <w:name w:val="Lined - Accent 6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0">
    <w:name w:val="Bordered &amp; Lined - Accent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2">
    <w:name w:val="Bordered &amp; Lined - Accent 2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3">
    <w:name w:val="Bordered &amp; Lined - Accent 3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4">
    <w:name w:val="Bordered &amp; Lined - Accent 4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5">
    <w:name w:val="Bordered &amp; Lined - Accent 5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6">
    <w:name w:val="Bordered &amp; Lined - Accent 6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7">
    <w:name w:val="Bordered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34">
    <w:name w:val="footnote text"/>
    <w:basedOn w:val="851"/>
    <w:link w:val="835"/>
    <w:uiPriority w:val="99"/>
    <w:semiHidden/>
    <w:unhideWhenUsed/>
    <w:pPr>
      <w:spacing w:after="40" w:line="240" w:lineRule="auto"/>
    </w:pPr>
    <w:rPr>
      <w:sz w:val="18"/>
    </w:rPr>
  </w:style>
  <w:style w:type="character" w:styleId="835">
    <w:name w:val="Footnote Text Char"/>
    <w:link w:val="834"/>
    <w:uiPriority w:val="99"/>
    <w:rPr>
      <w:sz w:val="18"/>
    </w:rPr>
  </w:style>
  <w:style w:type="character" w:styleId="836">
    <w:name w:val="footnote reference"/>
    <w:basedOn w:val="854"/>
    <w:uiPriority w:val="99"/>
    <w:unhideWhenUsed/>
    <w:rPr>
      <w:vertAlign w:val="superscript"/>
    </w:rPr>
  </w:style>
  <w:style w:type="paragraph" w:styleId="837">
    <w:name w:val="endnote text"/>
    <w:basedOn w:val="851"/>
    <w:link w:val="838"/>
    <w:uiPriority w:val="99"/>
    <w:semiHidden/>
    <w:unhideWhenUsed/>
    <w:pPr>
      <w:spacing w:after="0" w:line="240" w:lineRule="auto"/>
    </w:pPr>
    <w:rPr>
      <w:sz w:val="20"/>
    </w:rPr>
  </w:style>
  <w:style w:type="character" w:styleId="838">
    <w:name w:val="Endnote Text Char"/>
    <w:link w:val="837"/>
    <w:uiPriority w:val="99"/>
    <w:rPr>
      <w:sz w:val="20"/>
    </w:rPr>
  </w:style>
  <w:style w:type="character" w:styleId="839">
    <w:name w:val="endnote reference"/>
    <w:basedOn w:val="854"/>
    <w:uiPriority w:val="99"/>
    <w:semiHidden/>
    <w:unhideWhenUsed/>
    <w:rPr>
      <w:vertAlign w:val="superscript"/>
    </w:rPr>
  </w:style>
  <w:style w:type="paragraph" w:styleId="840">
    <w:name w:val="toc 1"/>
    <w:basedOn w:val="851"/>
    <w:next w:val="851"/>
    <w:uiPriority w:val="39"/>
    <w:unhideWhenUsed/>
    <w:pPr>
      <w:ind w:left="0" w:right="0" w:firstLine="0"/>
      <w:spacing w:after="57"/>
    </w:pPr>
  </w:style>
  <w:style w:type="paragraph" w:styleId="841">
    <w:name w:val="toc 2"/>
    <w:basedOn w:val="851"/>
    <w:next w:val="851"/>
    <w:uiPriority w:val="39"/>
    <w:unhideWhenUsed/>
    <w:pPr>
      <w:ind w:left="283" w:right="0" w:firstLine="0"/>
      <w:spacing w:after="57"/>
    </w:pPr>
  </w:style>
  <w:style w:type="paragraph" w:styleId="842">
    <w:name w:val="toc 3"/>
    <w:basedOn w:val="851"/>
    <w:next w:val="851"/>
    <w:uiPriority w:val="39"/>
    <w:unhideWhenUsed/>
    <w:pPr>
      <w:ind w:left="567" w:right="0" w:firstLine="0"/>
      <w:spacing w:after="57"/>
    </w:pPr>
  </w:style>
  <w:style w:type="paragraph" w:styleId="843">
    <w:name w:val="toc 4"/>
    <w:basedOn w:val="851"/>
    <w:next w:val="851"/>
    <w:uiPriority w:val="39"/>
    <w:unhideWhenUsed/>
    <w:pPr>
      <w:ind w:left="850" w:right="0" w:firstLine="0"/>
      <w:spacing w:after="57"/>
    </w:pPr>
  </w:style>
  <w:style w:type="paragraph" w:styleId="844">
    <w:name w:val="toc 5"/>
    <w:basedOn w:val="851"/>
    <w:next w:val="851"/>
    <w:uiPriority w:val="39"/>
    <w:unhideWhenUsed/>
    <w:pPr>
      <w:ind w:left="1134" w:right="0" w:firstLine="0"/>
      <w:spacing w:after="57"/>
    </w:pPr>
  </w:style>
  <w:style w:type="paragraph" w:styleId="845">
    <w:name w:val="toc 6"/>
    <w:basedOn w:val="851"/>
    <w:next w:val="851"/>
    <w:uiPriority w:val="39"/>
    <w:unhideWhenUsed/>
    <w:pPr>
      <w:ind w:left="1417" w:right="0" w:firstLine="0"/>
      <w:spacing w:after="57"/>
    </w:pPr>
  </w:style>
  <w:style w:type="paragraph" w:styleId="846">
    <w:name w:val="toc 7"/>
    <w:basedOn w:val="851"/>
    <w:next w:val="851"/>
    <w:uiPriority w:val="39"/>
    <w:unhideWhenUsed/>
    <w:pPr>
      <w:ind w:left="1701" w:right="0" w:firstLine="0"/>
      <w:spacing w:after="57"/>
    </w:pPr>
  </w:style>
  <w:style w:type="paragraph" w:styleId="847">
    <w:name w:val="toc 8"/>
    <w:basedOn w:val="851"/>
    <w:next w:val="851"/>
    <w:uiPriority w:val="39"/>
    <w:unhideWhenUsed/>
    <w:pPr>
      <w:ind w:left="1984" w:right="0" w:firstLine="0"/>
      <w:spacing w:after="57"/>
    </w:pPr>
  </w:style>
  <w:style w:type="paragraph" w:styleId="848">
    <w:name w:val="toc 9"/>
    <w:basedOn w:val="851"/>
    <w:next w:val="851"/>
    <w:uiPriority w:val="39"/>
    <w:unhideWhenUsed/>
    <w:pPr>
      <w:ind w:left="2268" w:right="0" w:firstLine="0"/>
      <w:spacing w:after="57"/>
    </w:pPr>
  </w:style>
  <w:style w:type="paragraph" w:styleId="849">
    <w:name w:val="TOC Heading"/>
    <w:uiPriority w:val="39"/>
    <w:unhideWhenUsed/>
  </w:style>
  <w:style w:type="paragraph" w:styleId="850">
    <w:name w:val="table of figures"/>
    <w:basedOn w:val="851"/>
    <w:next w:val="851"/>
    <w:uiPriority w:val="99"/>
    <w:unhideWhenUsed/>
    <w:pPr>
      <w:spacing w:after="0" w:afterAutospacing="0"/>
    </w:pPr>
  </w:style>
  <w:style w:type="paragraph" w:styleId="851" w:default="1">
    <w:name w:val="Normal"/>
    <w:qFormat/>
  </w:style>
  <w:style w:type="paragraph" w:styleId="852">
    <w:name w:val="Heading 1"/>
    <w:basedOn w:val="851"/>
    <w:next w:val="851"/>
    <w:link w:val="863"/>
    <w:qFormat/>
    <w:pPr>
      <w:jc w:val="center"/>
      <w:keepNext/>
      <w:spacing w:after="0" w:line="240" w:lineRule="auto"/>
      <w:outlineLvl w:val="0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853">
    <w:name w:val="Heading 3"/>
    <w:basedOn w:val="851"/>
    <w:next w:val="851"/>
    <w:link w:val="864"/>
    <w:qFormat/>
    <w:pPr>
      <w:jc w:val="right"/>
      <w:keepNext/>
      <w:spacing w:after="0" w:line="240" w:lineRule="auto"/>
      <w:outlineLvl w:val="2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854" w:default="1">
    <w:name w:val="Default Paragraph Font"/>
    <w:uiPriority w:val="1"/>
    <w:semiHidden/>
    <w:unhideWhenUsed/>
  </w:style>
  <w:style w:type="table" w:styleId="85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6" w:default="1">
    <w:name w:val="No List"/>
    <w:uiPriority w:val="99"/>
    <w:semiHidden/>
    <w:unhideWhenUsed/>
  </w:style>
  <w:style w:type="table" w:styleId="857">
    <w:name w:val="Table Grid"/>
    <w:basedOn w:val="855"/>
    <w:uiPriority w:val="3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858">
    <w:name w:val="Hyperlink"/>
    <w:unhideWhenUsed/>
    <w:rPr>
      <w:color w:val="0000ff"/>
      <w:u w:val="single"/>
    </w:rPr>
  </w:style>
  <w:style w:type="character" w:styleId="859" w:customStyle="1">
    <w:name w:val="apple-converted-space"/>
  </w:style>
  <w:style w:type="paragraph" w:styleId="860">
    <w:name w:val="List Paragraph"/>
    <w:basedOn w:val="851"/>
    <w:uiPriority w:val="34"/>
    <w:qFormat/>
    <w:pPr>
      <w:contextualSpacing/>
      <w:ind w:left="720"/>
    </w:pPr>
  </w:style>
  <w:style w:type="paragraph" w:styleId="861">
    <w:name w:val="HTML Preformatted"/>
    <w:basedOn w:val="851"/>
    <w:link w:val="862"/>
    <w:uiPriority w:val="99"/>
    <w:semiHidden/>
    <w:unhideWhenUsed/>
    <w:pPr>
      <w:spacing w:after="0" w:line="240" w:lineRule="auto"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eastAsia="Times New Roman" w:cs="Courier New"/>
      <w:sz w:val="20"/>
      <w:szCs w:val="20"/>
      <w:lang w:eastAsia="ru-RU"/>
    </w:rPr>
  </w:style>
  <w:style w:type="character" w:styleId="862" w:customStyle="1">
    <w:name w:val="Стандартный HTML Знак"/>
    <w:basedOn w:val="854"/>
    <w:link w:val="861"/>
    <w:uiPriority w:val="99"/>
    <w:semiHidden/>
    <w:rPr>
      <w:rFonts w:ascii="Courier New" w:hAnsi="Courier New" w:eastAsia="Times New Roman" w:cs="Courier New"/>
      <w:sz w:val="20"/>
      <w:szCs w:val="20"/>
      <w:lang w:eastAsia="ru-RU"/>
    </w:rPr>
  </w:style>
  <w:style w:type="character" w:styleId="863" w:customStyle="1">
    <w:name w:val="Заголовок 1 Знак"/>
    <w:basedOn w:val="854"/>
    <w:link w:val="852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864" w:customStyle="1">
    <w:name w:val="Заголовок 3 Знак"/>
    <w:basedOn w:val="854"/>
    <w:link w:val="853"/>
    <w:rPr>
      <w:rFonts w:ascii="Times New Roman" w:hAnsi="Times New Roman" w:eastAsia="Times New Roman" w:cs="Times New Roman"/>
      <w:sz w:val="28"/>
      <w:szCs w:val="20"/>
      <w:lang w:eastAsia="ru-RU"/>
    </w:rPr>
  </w:style>
  <w:style w:type="numbering" w:styleId="865" w:customStyle="1">
    <w:name w:val="Нет списка1"/>
    <w:next w:val="856"/>
    <w:semiHidden/>
  </w:style>
  <w:style w:type="paragraph" w:styleId="866">
    <w:name w:val="Body Text"/>
    <w:basedOn w:val="851"/>
    <w:link w:val="867"/>
    <w:pPr>
      <w:jc w:val="center"/>
      <w:spacing w:after="0" w:line="240" w:lineRule="auto"/>
    </w:pPr>
    <w:rPr>
      <w:rFonts w:ascii="Times New Roman" w:hAnsi="Times New Roman" w:eastAsia="Times New Roman" w:cs="Times New Roman"/>
      <w:bCs/>
      <w:sz w:val="28"/>
      <w:szCs w:val="28"/>
      <w:lang w:eastAsia="ru-RU"/>
    </w:rPr>
  </w:style>
  <w:style w:type="character" w:styleId="867" w:customStyle="1">
    <w:name w:val="Основной текст Знак"/>
    <w:basedOn w:val="854"/>
    <w:link w:val="866"/>
    <w:rPr>
      <w:rFonts w:ascii="Times New Roman" w:hAnsi="Times New Roman" w:eastAsia="Times New Roman" w:cs="Times New Roman"/>
      <w:bCs/>
      <w:sz w:val="28"/>
      <w:szCs w:val="28"/>
      <w:lang w:eastAsia="ru-RU"/>
    </w:rPr>
  </w:style>
  <w:style w:type="paragraph" w:styleId="868" w:customStyle="1">
    <w:name w:val="БланкАДМ"/>
    <w:basedOn w:val="851"/>
    <w:pPr>
      <w:ind w:firstLine="720"/>
      <w:spacing w:after="0" w:line="240" w:lineRule="auto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869">
    <w:name w:val="Balloon Text"/>
    <w:basedOn w:val="851"/>
    <w:link w:val="870"/>
    <w:uiPriority w:val="99"/>
    <w:semiHidden/>
    <w:unhideWhenUsed/>
    <w:pPr>
      <w:spacing w:after="0" w:line="240" w:lineRule="auto"/>
    </w:pPr>
    <w:rPr>
      <w:rFonts w:ascii="Tahoma" w:hAnsi="Tahoma" w:eastAsia="Times New Roman" w:cs="Tahoma"/>
      <w:sz w:val="16"/>
      <w:szCs w:val="16"/>
      <w:lang w:eastAsia="ru-RU"/>
    </w:rPr>
  </w:style>
  <w:style w:type="character" w:styleId="870" w:customStyle="1">
    <w:name w:val="Текст выноски Знак"/>
    <w:basedOn w:val="854"/>
    <w:link w:val="869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paragraph" w:styleId="871">
    <w:name w:val="Normal (Web)"/>
    <w:basedOn w:val="851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72" w:customStyle="1">
    <w:name w:val="extended-text__short"/>
  </w:style>
  <w:style w:type="table" w:styleId="873" w:customStyle="1">
    <w:name w:val="Сетка таблицы1"/>
    <w:basedOn w:val="855"/>
    <w:next w:val="857"/>
    <w:uiPriority w:val="3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D3C533-15F6-47D9-9228-63A02C73F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Р7-Офис/7.4.0.351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revision>20</cp:revision>
  <dcterms:created xsi:type="dcterms:W3CDTF">2023-06-07T04:27:00Z</dcterms:created>
  <dcterms:modified xsi:type="dcterms:W3CDTF">2025-06-25T11:42:52Z</dcterms:modified>
</cp:coreProperties>
</file>